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5B92B504"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8524C">
            <w:t>SCE</w:t>
          </w:r>
          <w:r w:rsidR="00DC0A96">
            <w:t>17</w:t>
          </w:r>
          <w:r w:rsidR="00F92ED0">
            <w:t>LG086</w:t>
          </w:r>
        </w:sdtContent>
      </w:sdt>
    </w:p>
    <w:bookmarkEnd w:id="0"/>
    <w:p w14:paraId="7601CE2F" w14:textId="7061F401" w:rsidR="00DA690B" w:rsidRPr="00500C4E" w:rsidRDefault="00C77C62"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DC0A96">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C77C62"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5B42BBF3" w:rsidR="00DA690B" w:rsidRPr="00500C4E" w:rsidRDefault="00F92ED0" w:rsidP="00DA690B">
      <w:pPr>
        <w:rPr>
          <w:rFonts w:cstheme="minorHAnsi"/>
          <w:b/>
          <w:sz w:val="72"/>
          <w:szCs w:val="72"/>
        </w:rPr>
      </w:pPr>
      <w:r>
        <w:rPr>
          <w:rFonts w:cstheme="minorHAnsi"/>
          <w:b/>
          <w:sz w:val="72"/>
          <w:szCs w:val="72"/>
        </w:rPr>
        <w:t>Interior Linear Fluorescent Fixture</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1FA0C5D9" w:rsidR="00AC5309" w:rsidRPr="00EB33EA" w:rsidRDefault="00F92ED0">
            <w:pPr>
              <w:rPr>
                <w:rFonts w:cs="Arial"/>
                <w:bCs/>
                <w:color w:val="FF0000"/>
                <w:szCs w:val="20"/>
                <w:highlight w:val="yellow"/>
              </w:rPr>
            </w:pPr>
            <w:r w:rsidRPr="00895C25">
              <w:rPr>
                <w:rFonts w:cs="Arial"/>
                <w:szCs w:val="20"/>
              </w:rPr>
              <w:t>LT-41199, LT-12866, LT-84912, LT-26100, LT-55943, LT-92448, LT-38287, LT-10232, LT-38754, LT-39676</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7BF4D0A4" w:rsidR="00290ED8" w:rsidRPr="00500C4E" w:rsidRDefault="008F3CC2">
            <w:pPr>
              <w:rPr>
                <w:rFonts w:cs="Arial"/>
                <w:color w:val="FF0000"/>
                <w:szCs w:val="20"/>
              </w:rPr>
            </w:pPr>
            <w:r>
              <w:rPr>
                <w:rFonts w:cs="Arial"/>
                <w:szCs w:val="20"/>
              </w:rPr>
              <w:t>linear fluorescent fixtures (</w:t>
            </w:r>
            <w:r w:rsidRPr="00C12299">
              <w:rPr>
                <w:rFonts w:cs="Arial"/>
                <w:szCs w:val="20"/>
              </w:rPr>
              <w:t>T5, or T5HO)</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175E8225" w:rsidR="00290ED8" w:rsidRPr="00500C4E" w:rsidRDefault="00F92ED0">
            <w:pPr>
              <w:rPr>
                <w:rFonts w:cs="Arial"/>
                <w:color w:val="FF0000"/>
                <w:szCs w:val="20"/>
              </w:rPr>
            </w:pPr>
            <w:r>
              <w:rPr>
                <w:rFonts w:cs="Arial"/>
                <w:szCs w:val="20"/>
              </w:rPr>
              <w:t>The existing interior lights being replaced must be incand</w:t>
            </w:r>
            <w:r w:rsidR="00895C25">
              <w:rPr>
                <w:rFonts w:cs="Arial"/>
                <w:szCs w:val="20"/>
              </w:rPr>
              <w:t xml:space="preserve">escent, mercury vapor, </w:t>
            </w:r>
            <w:r>
              <w:rPr>
                <w:rFonts w:cs="Arial"/>
                <w:szCs w:val="20"/>
              </w:rPr>
              <w:t>metal halide or high pressure sodium.</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63608EC6" w:rsidR="00D36798" w:rsidRPr="00500C4E" w:rsidRDefault="00F92ED0">
            <w:pPr>
              <w:rPr>
                <w:rFonts w:cs="Arial"/>
                <w:color w:val="FF0000"/>
                <w:szCs w:val="20"/>
              </w:rPr>
            </w:pPr>
            <w:r>
              <w:rPr>
                <w:rFonts w:cs="Arial"/>
                <w:szCs w:val="20"/>
              </w:rPr>
              <w:t>Per fixture</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9F02FD7" w:rsidR="00290ED8" w:rsidRPr="00500C4E" w:rsidRDefault="00D36798">
            <w:pPr>
              <w:rPr>
                <w:rFonts w:cs="Arial"/>
                <w:szCs w:val="20"/>
              </w:rPr>
            </w:pPr>
            <w:r w:rsidRPr="00500C4E">
              <w:rPr>
                <w:rFonts w:cs="Arial"/>
                <w:szCs w:val="20"/>
              </w:rPr>
              <w:t>Refer to Excel Calculation Attachment</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43E444B2" w:rsidR="00290ED8" w:rsidRPr="00500C4E" w:rsidRDefault="00AC2F5B" w:rsidP="00AC2F5B">
            <w:pPr>
              <w:rPr>
                <w:rFonts w:cs="Arial"/>
                <w:szCs w:val="20"/>
              </w:rPr>
            </w:pPr>
            <w:r w:rsidRPr="00500C4E">
              <w:rPr>
                <w:rFonts w:cs="Arial"/>
                <w:szCs w:val="20"/>
              </w:rPr>
              <w:t>Refer to Excel Calculation Attachment</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769750A2" w:rsidR="00290ED8" w:rsidRPr="00500C4E" w:rsidRDefault="00AC2F5B" w:rsidP="00AC2F5B">
            <w:pPr>
              <w:rPr>
                <w:rFonts w:cs="Arial"/>
                <w:szCs w:val="20"/>
              </w:rPr>
            </w:pPr>
            <w:r w:rsidRPr="00500C4E">
              <w:rPr>
                <w:rFonts w:cs="Arial"/>
                <w:szCs w:val="20"/>
              </w:rPr>
              <w:t>Refer to Excel Calculation Attachment</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0CA33268" w:rsidR="00290ED8" w:rsidRPr="00500C4E" w:rsidRDefault="00F92ED0" w:rsidP="00FD3B4A">
            <w:pPr>
              <w:rPr>
                <w:rFonts w:cs="Arial"/>
                <w:color w:val="FF0000"/>
                <w:szCs w:val="20"/>
              </w:rPr>
            </w:pPr>
            <w:r w:rsidRPr="0054570B">
              <w:rPr>
                <w:rFonts w:cstheme="minorHAnsi"/>
                <w:szCs w:val="20"/>
              </w:rPr>
              <w:t>EUL varies by building type</w:t>
            </w:r>
            <w:r>
              <w:rPr>
                <w:rFonts w:cstheme="minorHAnsi"/>
                <w:szCs w:val="20"/>
              </w:rPr>
              <w:t xml:space="preserve">.  Refer to </w:t>
            </w:r>
            <w:r w:rsidR="00FD3B4A">
              <w:rPr>
                <w:rFonts w:cstheme="minorHAnsi"/>
                <w:szCs w:val="20"/>
              </w:rPr>
              <w:t>Section 1.4.1</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483A0A09" w14:textId="77777777" w:rsidR="00290ED8" w:rsidRDefault="00F92ED0">
            <w:pPr>
              <w:rPr>
                <w:rFonts w:cs="Arial"/>
                <w:szCs w:val="20"/>
              </w:rPr>
            </w:pPr>
            <w:r>
              <w:rPr>
                <w:rFonts w:cs="Arial"/>
                <w:szCs w:val="20"/>
              </w:rPr>
              <w:t xml:space="preserve">Early Retirement (ER) and </w:t>
            </w:r>
            <w:r w:rsidRPr="00697868">
              <w:rPr>
                <w:rFonts w:cs="Arial"/>
                <w:szCs w:val="20"/>
              </w:rPr>
              <w:t>Replace on Burnout (ROB)</w:t>
            </w:r>
          </w:p>
          <w:p w14:paraId="08423BBE" w14:textId="6380088B" w:rsidR="006A0D7B" w:rsidRPr="00500C4E" w:rsidRDefault="006A0D7B">
            <w:pPr>
              <w:rPr>
                <w:rFonts w:cs="Arial"/>
                <w:color w:val="FF0000"/>
                <w:szCs w:val="20"/>
              </w:rPr>
            </w:pPr>
            <w:r>
              <w:rPr>
                <w:szCs w:val="20"/>
              </w:rPr>
              <w:t>(RET Pursuant to POE Draft Resolution E-4818)</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15B462AF" w:rsidR="00290ED8" w:rsidRPr="00500C4E" w:rsidRDefault="00F92ED0" w:rsidP="00B4757C">
            <w:pPr>
              <w:rPr>
                <w:rFonts w:cs="Arial"/>
                <w:color w:val="FF0000"/>
                <w:szCs w:val="20"/>
              </w:rPr>
            </w:pPr>
            <w:r w:rsidRPr="00B4757C">
              <w:rPr>
                <w:rFonts w:cs="Arial"/>
                <w:szCs w:val="20"/>
              </w:rPr>
              <w:t xml:space="preserve">Refer to </w:t>
            </w:r>
            <w:r w:rsidR="00B4757C" w:rsidRPr="00B4757C">
              <w:rPr>
                <w:rFonts w:cs="Arial"/>
                <w:szCs w:val="20"/>
              </w:rPr>
              <w:t>Section 1.4.1</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981"/>
        <w:gridCol w:w="996"/>
        <w:gridCol w:w="7075"/>
      </w:tblGrid>
      <w:tr w:rsidR="003845E5" w:rsidRPr="00500C4E" w14:paraId="5AFD7FBC" w14:textId="77777777" w:rsidTr="001C3DA9">
        <w:trPr>
          <w:trHeight w:val="20"/>
        </w:trPr>
        <w:tc>
          <w:tcPr>
            <w:tcW w:w="274"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1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520"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694"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0F8D645E" w14:textId="77777777" w:rsidTr="001C3DA9">
        <w:trPr>
          <w:trHeight w:val="20"/>
        </w:trPr>
        <w:tc>
          <w:tcPr>
            <w:tcW w:w="274" w:type="pct"/>
          </w:tcPr>
          <w:p w14:paraId="4A1A2996" w14:textId="77777777" w:rsidR="00933188" w:rsidRPr="00F92ED0" w:rsidRDefault="00933188" w:rsidP="005729C8">
            <w:pPr>
              <w:rPr>
                <w:rFonts w:cstheme="minorHAnsi"/>
                <w:szCs w:val="20"/>
              </w:rPr>
            </w:pPr>
            <w:r w:rsidRPr="00F92ED0">
              <w:rPr>
                <w:rFonts w:cstheme="minorHAnsi"/>
                <w:szCs w:val="20"/>
              </w:rPr>
              <w:t>0</w:t>
            </w:r>
          </w:p>
        </w:tc>
        <w:tc>
          <w:tcPr>
            <w:tcW w:w="512" w:type="pct"/>
          </w:tcPr>
          <w:p w14:paraId="68BA349C" w14:textId="3744AA1F" w:rsidR="00933188" w:rsidRPr="00F92ED0" w:rsidRDefault="00DC0A96" w:rsidP="00D473F0">
            <w:pPr>
              <w:rPr>
                <w:rFonts w:cstheme="minorHAnsi"/>
                <w:szCs w:val="20"/>
              </w:rPr>
            </w:pPr>
            <w:r>
              <w:rPr>
                <w:rFonts w:cstheme="minorHAnsi"/>
                <w:szCs w:val="20"/>
              </w:rPr>
              <w:t>1</w:t>
            </w:r>
            <w:r w:rsidR="00D473F0">
              <w:rPr>
                <w:rFonts w:cstheme="minorHAnsi"/>
                <w:szCs w:val="20"/>
              </w:rPr>
              <w:t>1</w:t>
            </w:r>
            <w:r>
              <w:rPr>
                <w:rFonts w:cstheme="minorHAnsi"/>
                <w:szCs w:val="20"/>
              </w:rPr>
              <w:t>/</w:t>
            </w:r>
            <w:r w:rsidR="00D473F0">
              <w:rPr>
                <w:rFonts w:cstheme="minorHAnsi"/>
                <w:szCs w:val="20"/>
              </w:rPr>
              <w:t>1</w:t>
            </w:r>
            <w:r>
              <w:rPr>
                <w:rFonts w:cstheme="minorHAnsi"/>
                <w:szCs w:val="20"/>
              </w:rPr>
              <w:t>8/16</w:t>
            </w:r>
          </w:p>
        </w:tc>
        <w:tc>
          <w:tcPr>
            <w:tcW w:w="520" w:type="pct"/>
          </w:tcPr>
          <w:p w14:paraId="4A812BB3" w14:textId="4406BC29" w:rsidR="00933188" w:rsidRPr="00F92ED0" w:rsidRDefault="00DC0A96" w:rsidP="001B2301">
            <w:pPr>
              <w:rPr>
                <w:rFonts w:cstheme="minorHAnsi"/>
                <w:szCs w:val="20"/>
              </w:rPr>
            </w:pPr>
            <w:r>
              <w:rPr>
                <w:rFonts w:cstheme="minorHAnsi"/>
                <w:szCs w:val="20"/>
              </w:rPr>
              <w:t>Chad Sisco</w:t>
            </w:r>
            <w:r w:rsidR="00F92ED0" w:rsidRPr="00F92ED0">
              <w:rPr>
                <w:rFonts w:cstheme="minorHAnsi"/>
                <w:szCs w:val="20"/>
              </w:rPr>
              <w:t>/SCE</w:t>
            </w:r>
          </w:p>
        </w:tc>
        <w:tc>
          <w:tcPr>
            <w:tcW w:w="3694" w:type="pct"/>
          </w:tcPr>
          <w:p w14:paraId="1A352594" w14:textId="77777777" w:rsidR="000D6733" w:rsidRDefault="00F92ED0" w:rsidP="000D6733">
            <w:pPr>
              <w:pStyle w:val="ListParagraph"/>
              <w:numPr>
                <w:ilvl w:val="0"/>
                <w:numId w:val="43"/>
              </w:numPr>
              <w:ind w:left="288" w:hanging="288"/>
            </w:pPr>
            <w:r w:rsidRPr="00D473F0">
              <w:t xml:space="preserve">Updated </w:t>
            </w:r>
            <w:r w:rsidR="001C3DA9">
              <w:t>SCE17LG086.0</w:t>
            </w:r>
            <w:r w:rsidRPr="00D473F0">
              <w:t xml:space="preserve"> from </w:t>
            </w:r>
            <w:r w:rsidR="00DC0A96" w:rsidRPr="00D473F0">
              <w:t>SCE13LG086.2</w:t>
            </w:r>
          </w:p>
          <w:p w14:paraId="36B965BD" w14:textId="77777777" w:rsidR="000D6733" w:rsidRDefault="000D6733" w:rsidP="000D6733">
            <w:pPr>
              <w:pStyle w:val="ListParagraph"/>
              <w:numPr>
                <w:ilvl w:val="0"/>
                <w:numId w:val="43"/>
              </w:numPr>
              <w:ind w:left="288" w:hanging="288"/>
            </w:pPr>
            <w:r>
              <w:t>Updated Codes to T24 2016 and T20 2015.</w:t>
            </w:r>
          </w:p>
          <w:p w14:paraId="34F0A8ED" w14:textId="22E563BA" w:rsidR="00A753CE" w:rsidRPr="000D6733" w:rsidRDefault="00A753CE" w:rsidP="000D6733">
            <w:pPr>
              <w:pStyle w:val="ListParagraph"/>
              <w:numPr>
                <w:ilvl w:val="0"/>
                <w:numId w:val="43"/>
              </w:numPr>
              <w:ind w:left="288" w:hanging="288"/>
            </w:pPr>
            <w:r>
              <w:t>Fixed second baselines and install types</w:t>
            </w:r>
          </w:p>
        </w:tc>
      </w:tr>
    </w:tbl>
    <w:p w14:paraId="656E2232" w14:textId="64339716"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6AB6D1DF" w:rsidR="008877AF" w:rsidRPr="00EE4120" w:rsidRDefault="008877AF" w:rsidP="00A84BF9">
            <w:pPr>
              <w:rPr>
                <w:bCs/>
                <w:color w:val="FF0000"/>
              </w:rPr>
            </w:pPr>
          </w:p>
        </w:tc>
        <w:tc>
          <w:tcPr>
            <w:tcW w:w="351" w:type="pct"/>
          </w:tcPr>
          <w:p w14:paraId="23988046" w14:textId="16698F9A" w:rsidR="008877AF" w:rsidRPr="00EE4120" w:rsidRDefault="008877AF" w:rsidP="00A84BF9">
            <w:pPr>
              <w:rPr>
                <w:bCs/>
                <w:color w:val="FF0000"/>
                <w:szCs w:val="20"/>
              </w:rPr>
            </w:pPr>
          </w:p>
        </w:tc>
        <w:tc>
          <w:tcPr>
            <w:tcW w:w="548" w:type="pct"/>
          </w:tcPr>
          <w:p w14:paraId="4AB37DB0" w14:textId="3547969B" w:rsidR="008877AF" w:rsidRPr="00EE4120" w:rsidRDefault="008877AF" w:rsidP="00A84BF9">
            <w:pPr>
              <w:rPr>
                <w:bCs/>
                <w:color w:val="FF0000"/>
                <w:szCs w:val="20"/>
              </w:rPr>
            </w:pPr>
          </w:p>
        </w:tc>
        <w:tc>
          <w:tcPr>
            <w:tcW w:w="552" w:type="pct"/>
          </w:tcPr>
          <w:p w14:paraId="62E998F6" w14:textId="10B97198" w:rsidR="008877AF" w:rsidRPr="00EE4120" w:rsidRDefault="008877AF" w:rsidP="00A84BF9">
            <w:pPr>
              <w:rPr>
                <w:bCs/>
                <w:color w:val="FF0000"/>
                <w:szCs w:val="20"/>
              </w:rPr>
            </w:pPr>
          </w:p>
        </w:tc>
        <w:tc>
          <w:tcPr>
            <w:tcW w:w="1634" w:type="pct"/>
          </w:tcPr>
          <w:p w14:paraId="369DEEE8" w14:textId="0B63DA46" w:rsidR="008877AF" w:rsidRPr="00E62371" w:rsidRDefault="008877AF" w:rsidP="00E62371">
            <w:pPr>
              <w:rPr>
                <w:bCs/>
                <w:color w:val="FF0000"/>
                <w:szCs w:val="20"/>
              </w:rPr>
            </w:pPr>
          </w:p>
        </w:tc>
        <w:tc>
          <w:tcPr>
            <w:tcW w:w="1634" w:type="pct"/>
          </w:tcPr>
          <w:p w14:paraId="1ECCFDB6" w14:textId="6B1E7B0F" w:rsidR="008877AF" w:rsidRPr="00E62371" w:rsidRDefault="008877AF" w:rsidP="00E62371">
            <w:pPr>
              <w:rPr>
                <w:bCs/>
                <w:color w:val="FF0000"/>
                <w:szCs w:val="20"/>
              </w:rPr>
            </w:pPr>
          </w:p>
        </w:tc>
      </w:tr>
      <w:tr w:rsidR="00D473F0" w:rsidRPr="00500C4E" w14:paraId="2441EF4F" w14:textId="77777777" w:rsidTr="00BA5FE4">
        <w:trPr>
          <w:trHeight w:val="20"/>
        </w:trPr>
        <w:tc>
          <w:tcPr>
            <w:tcW w:w="280" w:type="pct"/>
          </w:tcPr>
          <w:p w14:paraId="7244BDA8" w14:textId="77777777" w:rsidR="00D473F0" w:rsidRPr="00EE4120" w:rsidRDefault="00D473F0" w:rsidP="00A84BF9">
            <w:pPr>
              <w:rPr>
                <w:bCs/>
                <w:color w:val="FF0000"/>
              </w:rPr>
            </w:pPr>
          </w:p>
        </w:tc>
        <w:tc>
          <w:tcPr>
            <w:tcW w:w="351" w:type="pct"/>
          </w:tcPr>
          <w:p w14:paraId="522CCB38" w14:textId="77777777" w:rsidR="00D473F0" w:rsidRPr="00EE4120" w:rsidRDefault="00D473F0" w:rsidP="00A84BF9">
            <w:pPr>
              <w:rPr>
                <w:bCs/>
                <w:color w:val="FF0000"/>
                <w:szCs w:val="20"/>
              </w:rPr>
            </w:pPr>
          </w:p>
        </w:tc>
        <w:tc>
          <w:tcPr>
            <w:tcW w:w="548" w:type="pct"/>
          </w:tcPr>
          <w:p w14:paraId="1B7D007B" w14:textId="77777777" w:rsidR="00D473F0" w:rsidRPr="00EE4120" w:rsidRDefault="00D473F0" w:rsidP="00A84BF9">
            <w:pPr>
              <w:rPr>
                <w:bCs/>
                <w:color w:val="FF0000"/>
                <w:szCs w:val="20"/>
              </w:rPr>
            </w:pPr>
          </w:p>
        </w:tc>
        <w:tc>
          <w:tcPr>
            <w:tcW w:w="552" w:type="pct"/>
          </w:tcPr>
          <w:p w14:paraId="2588400F" w14:textId="77777777" w:rsidR="00D473F0" w:rsidRPr="00EE4120" w:rsidRDefault="00D473F0" w:rsidP="00A84BF9">
            <w:pPr>
              <w:rPr>
                <w:bCs/>
                <w:color w:val="FF0000"/>
                <w:szCs w:val="20"/>
              </w:rPr>
            </w:pPr>
          </w:p>
        </w:tc>
        <w:tc>
          <w:tcPr>
            <w:tcW w:w="1634" w:type="pct"/>
          </w:tcPr>
          <w:p w14:paraId="770E3CF6" w14:textId="77777777" w:rsidR="00D473F0" w:rsidRPr="00E62371" w:rsidRDefault="00D473F0" w:rsidP="00E62371">
            <w:pPr>
              <w:rPr>
                <w:bCs/>
                <w:color w:val="FF0000"/>
                <w:szCs w:val="20"/>
              </w:rPr>
            </w:pPr>
          </w:p>
        </w:tc>
        <w:tc>
          <w:tcPr>
            <w:tcW w:w="1634" w:type="pct"/>
          </w:tcPr>
          <w:p w14:paraId="7845AE70" w14:textId="77777777" w:rsidR="00D473F0" w:rsidRPr="00E62371" w:rsidRDefault="00D473F0" w:rsidP="00E62371">
            <w:pPr>
              <w:rPr>
                <w:bCs/>
                <w:color w:val="FF0000"/>
                <w:szCs w:val="20"/>
              </w:rPr>
            </w:pPr>
          </w:p>
        </w:tc>
      </w:tr>
      <w:tr w:rsidR="00D473F0" w:rsidRPr="00500C4E" w14:paraId="0F70535F" w14:textId="77777777" w:rsidTr="00BA5FE4">
        <w:trPr>
          <w:trHeight w:val="20"/>
        </w:trPr>
        <w:tc>
          <w:tcPr>
            <w:tcW w:w="280" w:type="pct"/>
          </w:tcPr>
          <w:p w14:paraId="0B136E9D" w14:textId="77777777" w:rsidR="00D473F0" w:rsidRPr="00EE4120" w:rsidRDefault="00D473F0" w:rsidP="00A84BF9">
            <w:pPr>
              <w:rPr>
                <w:bCs/>
                <w:color w:val="FF0000"/>
              </w:rPr>
            </w:pPr>
          </w:p>
        </w:tc>
        <w:tc>
          <w:tcPr>
            <w:tcW w:w="351" w:type="pct"/>
          </w:tcPr>
          <w:p w14:paraId="038732C3" w14:textId="77777777" w:rsidR="00D473F0" w:rsidRPr="00EE4120" w:rsidRDefault="00D473F0" w:rsidP="00A84BF9">
            <w:pPr>
              <w:rPr>
                <w:bCs/>
                <w:color w:val="FF0000"/>
                <w:szCs w:val="20"/>
              </w:rPr>
            </w:pPr>
          </w:p>
        </w:tc>
        <w:tc>
          <w:tcPr>
            <w:tcW w:w="548" w:type="pct"/>
          </w:tcPr>
          <w:p w14:paraId="74B31F61" w14:textId="77777777" w:rsidR="00D473F0" w:rsidRPr="00EE4120" w:rsidRDefault="00D473F0" w:rsidP="00A84BF9">
            <w:pPr>
              <w:rPr>
                <w:bCs/>
                <w:color w:val="FF0000"/>
                <w:szCs w:val="20"/>
              </w:rPr>
            </w:pPr>
          </w:p>
        </w:tc>
        <w:tc>
          <w:tcPr>
            <w:tcW w:w="552" w:type="pct"/>
          </w:tcPr>
          <w:p w14:paraId="16C7C374" w14:textId="77777777" w:rsidR="00D473F0" w:rsidRPr="00EE4120" w:rsidRDefault="00D473F0" w:rsidP="00A84BF9">
            <w:pPr>
              <w:rPr>
                <w:bCs/>
                <w:color w:val="FF0000"/>
                <w:szCs w:val="20"/>
              </w:rPr>
            </w:pPr>
          </w:p>
        </w:tc>
        <w:tc>
          <w:tcPr>
            <w:tcW w:w="1634" w:type="pct"/>
          </w:tcPr>
          <w:p w14:paraId="08A1EC52" w14:textId="77777777" w:rsidR="00D473F0" w:rsidRPr="00E62371" w:rsidRDefault="00D473F0" w:rsidP="00E62371">
            <w:pPr>
              <w:rPr>
                <w:bCs/>
                <w:color w:val="FF0000"/>
                <w:szCs w:val="20"/>
              </w:rPr>
            </w:pPr>
          </w:p>
        </w:tc>
        <w:tc>
          <w:tcPr>
            <w:tcW w:w="1634" w:type="pct"/>
          </w:tcPr>
          <w:p w14:paraId="46F3BB96" w14:textId="77777777" w:rsidR="00D473F0" w:rsidRPr="00E62371" w:rsidRDefault="00D473F0" w:rsidP="00E62371">
            <w:pPr>
              <w:rPr>
                <w:bCs/>
                <w:color w:val="FF0000"/>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13ACD68B"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470D6AFB" w:rsidR="00D85F09" w:rsidRPr="00920905" w:rsidRDefault="00E62371" w:rsidP="00920905">
            <w:pPr>
              <w:rPr>
                <w:szCs w:val="20"/>
              </w:rPr>
            </w:pPr>
            <w:r>
              <w:rPr>
                <w:rFonts w:cs="Arial"/>
                <w:szCs w:val="20"/>
              </w:rPr>
              <w:t>linear fluorescent fixtures (</w:t>
            </w:r>
            <w:r w:rsidRPr="00C12299">
              <w:rPr>
                <w:rFonts w:cs="Arial"/>
                <w:szCs w:val="20"/>
              </w:rPr>
              <w:t>T5, or T5HO)</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1BD392EB" w:rsidR="00D85F09" w:rsidRPr="00904F13" w:rsidRDefault="00C10C97" w:rsidP="00895C25">
            <w:pPr>
              <w:rPr>
                <w:i/>
                <w:szCs w:val="20"/>
              </w:rPr>
            </w:pPr>
            <w:r>
              <w:rPr>
                <w:rFonts w:cstheme="minorHAnsi"/>
                <w:sz w:val="22"/>
                <w:szCs w:val="22"/>
              </w:rPr>
              <w:t>E</w:t>
            </w:r>
            <w:r w:rsidRPr="0080212A">
              <w:rPr>
                <w:rFonts w:cstheme="minorHAnsi"/>
                <w:sz w:val="22"/>
                <w:szCs w:val="22"/>
              </w:rPr>
              <w:t xml:space="preserve">xisting incandescent, mercury vapor, </w:t>
            </w:r>
            <w:r w:rsidR="00895C25">
              <w:rPr>
                <w:rFonts w:cstheme="minorHAnsi"/>
                <w:sz w:val="22"/>
                <w:szCs w:val="22"/>
              </w:rPr>
              <w:t>m</w:t>
            </w:r>
            <w:r w:rsidRPr="0080212A">
              <w:rPr>
                <w:rFonts w:cstheme="minorHAnsi"/>
                <w:sz w:val="22"/>
                <w:szCs w:val="22"/>
              </w:rPr>
              <w:t>etal halide, or high pressure sodium interior lighting fixtures</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7B0886C0" w14:textId="7B1EC585" w:rsidR="00E62371" w:rsidRPr="00904F13" w:rsidRDefault="00E62371">
            <w:pPr>
              <w:rPr>
                <w:szCs w:val="20"/>
              </w:rPr>
            </w:pPr>
            <w:r w:rsidRPr="00904F13">
              <w:rPr>
                <w:szCs w:val="20"/>
              </w:rPr>
              <w:t>Metal Halide Fixture (Up</w:t>
            </w:r>
            <w:r w:rsidR="00E143E3">
              <w:rPr>
                <w:szCs w:val="20"/>
              </w:rPr>
              <w:t xml:space="preserve"> </w:t>
            </w:r>
            <w:r w:rsidRPr="00904F13">
              <w:rPr>
                <w:szCs w:val="20"/>
              </w:rPr>
              <w:t>to 175W)</w:t>
            </w:r>
          </w:p>
          <w:p w14:paraId="421D7A92" w14:textId="7231C968" w:rsidR="002344FB" w:rsidRPr="00904F13" w:rsidRDefault="003035E3">
            <w:pPr>
              <w:rPr>
                <w:szCs w:val="20"/>
              </w:rPr>
            </w:pPr>
            <w:r w:rsidRPr="00904F13">
              <w:rPr>
                <w:szCs w:val="20"/>
              </w:rPr>
              <w:t>Pulse Start Metal Halide Fixture</w:t>
            </w:r>
            <w:r w:rsidR="00E62371" w:rsidRPr="00904F13">
              <w:rPr>
                <w:szCs w:val="20"/>
              </w:rPr>
              <w:t xml:space="preserve"> (&gt; 175W)</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0C115CA5" w:rsidR="00D85F09" w:rsidRPr="00904F13" w:rsidRDefault="00E62371" w:rsidP="00920905">
            <w:pPr>
              <w:rPr>
                <w:i/>
                <w:szCs w:val="20"/>
              </w:rPr>
            </w:pPr>
            <w:r w:rsidRPr="00904F13">
              <w:rPr>
                <w:szCs w:val="20"/>
              </w:rPr>
              <w:t>N/A</w:t>
            </w:r>
          </w:p>
        </w:tc>
      </w:tr>
    </w:tbl>
    <w:p w14:paraId="3D32C2EF" w14:textId="77777777" w:rsidR="00D85F09" w:rsidRPr="00800706" w:rsidRDefault="00D85F09" w:rsidP="00920905">
      <w:pPr>
        <w:pStyle w:val="NoSpacing"/>
      </w:pPr>
    </w:p>
    <w:p w14:paraId="5FFA987B" w14:textId="20166726" w:rsidR="00C10C97" w:rsidRPr="00895C25" w:rsidRDefault="00AC5309" w:rsidP="00895C2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895C25" w:rsidRPr="00800706" w14:paraId="01024C21" w14:textId="77777777" w:rsidTr="001C3DA9">
        <w:tc>
          <w:tcPr>
            <w:tcW w:w="2356" w:type="pct"/>
            <w:gridSpan w:val="4"/>
            <w:shd w:val="clear" w:color="auto" w:fill="D9D9D9" w:themeFill="background1" w:themeFillShade="D9"/>
          </w:tcPr>
          <w:p w14:paraId="188A2CB5" w14:textId="77777777" w:rsidR="00895C25" w:rsidRPr="00920905" w:rsidRDefault="00895C25" w:rsidP="001C3DA9">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07E1EB08" w14:textId="77777777" w:rsidR="00895C25" w:rsidRPr="00920905" w:rsidRDefault="00895C25" w:rsidP="001C3DA9">
            <w:pPr>
              <w:rPr>
                <w:rFonts w:cstheme="minorHAnsi"/>
                <w:b/>
                <w:szCs w:val="20"/>
              </w:rPr>
            </w:pPr>
            <w:r w:rsidRPr="00920905">
              <w:rPr>
                <w:rFonts w:cstheme="minorHAnsi"/>
                <w:b/>
                <w:szCs w:val="20"/>
              </w:rPr>
              <w:t>Measure Name</w:t>
            </w:r>
          </w:p>
        </w:tc>
      </w:tr>
      <w:tr w:rsidR="00895C25" w:rsidRPr="00800706" w14:paraId="7F3CEBBD" w14:textId="77777777" w:rsidTr="001C3DA9">
        <w:tc>
          <w:tcPr>
            <w:tcW w:w="539" w:type="pct"/>
            <w:shd w:val="clear" w:color="auto" w:fill="F2F2F2" w:themeFill="background1" w:themeFillShade="F2"/>
          </w:tcPr>
          <w:p w14:paraId="502F46A2" w14:textId="77777777" w:rsidR="00895C25" w:rsidRPr="00800706" w:rsidRDefault="00895C25" w:rsidP="001C3DA9">
            <w:pPr>
              <w:rPr>
                <w:rFonts w:cstheme="minorHAnsi"/>
                <w:szCs w:val="20"/>
              </w:rPr>
            </w:pPr>
            <w:r w:rsidRPr="00800706">
              <w:rPr>
                <w:rFonts w:cstheme="minorHAnsi"/>
                <w:szCs w:val="20"/>
              </w:rPr>
              <w:t>SCG</w:t>
            </w:r>
          </w:p>
        </w:tc>
        <w:tc>
          <w:tcPr>
            <w:tcW w:w="539" w:type="pct"/>
            <w:shd w:val="clear" w:color="auto" w:fill="F2F2F2" w:themeFill="background1" w:themeFillShade="F2"/>
          </w:tcPr>
          <w:p w14:paraId="40B59AFB" w14:textId="77777777" w:rsidR="00895C25" w:rsidRPr="00800706" w:rsidRDefault="00895C25" w:rsidP="001C3DA9">
            <w:pPr>
              <w:rPr>
                <w:rFonts w:cstheme="minorHAnsi"/>
                <w:szCs w:val="20"/>
              </w:rPr>
            </w:pPr>
            <w:r w:rsidRPr="00800706">
              <w:rPr>
                <w:rFonts w:cstheme="minorHAnsi"/>
                <w:szCs w:val="20"/>
              </w:rPr>
              <w:t>SDG&amp;E</w:t>
            </w:r>
          </w:p>
        </w:tc>
        <w:tc>
          <w:tcPr>
            <w:tcW w:w="605" w:type="pct"/>
            <w:shd w:val="clear" w:color="auto" w:fill="F2F2F2" w:themeFill="background1" w:themeFillShade="F2"/>
          </w:tcPr>
          <w:p w14:paraId="1207643B" w14:textId="77777777" w:rsidR="00895C25" w:rsidRPr="00800706" w:rsidRDefault="00895C25" w:rsidP="001C3DA9">
            <w:pPr>
              <w:rPr>
                <w:rFonts w:cstheme="minorHAnsi"/>
                <w:szCs w:val="20"/>
              </w:rPr>
            </w:pPr>
            <w:r w:rsidRPr="00800706">
              <w:rPr>
                <w:rFonts w:cstheme="minorHAnsi"/>
                <w:szCs w:val="20"/>
              </w:rPr>
              <w:t>SCE</w:t>
            </w:r>
          </w:p>
        </w:tc>
        <w:tc>
          <w:tcPr>
            <w:tcW w:w="673" w:type="pct"/>
            <w:shd w:val="clear" w:color="auto" w:fill="F2F2F2" w:themeFill="background1" w:themeFillShade="F2"/>
          </w:tcPr>
          <w:p w14:paraId="409CE521" w14:textId="77777777" w:rsidR="00895C25" w:rsidRPr="00800706" w:rsidRDefault="00895C25" w:rsidP="001C3DA9">
            <w:pPr>
              <w:rPr>
                <w:rFonts w:cstheme="minorHAnsi"/>
                <w:szCs w:val="20"/>
              </w:rPr>
            </w:pPr>
            <w:r w:rsidRPr="00800706">
              <w:rPr>
                <w:rFonts w:cstheme="minorHAnsi"/>
                <w:szCs w:val="20"/>
              </w:rPr>
              <w:t>PG&amp;E</w:t>
            </w:r>
          </w:p>
        </w:tc>
        <w:tc>
          <w:tcPr>
            <w:tcW w:w="2644" w:type="pct"/>
            <w:vMerge/>
          </w:tcPr>
          <w:p w14:paraId="5E0EF795" w14:textId="77777777" w:rsidR="00895C25" w:rsidRPr="00800706" w:rsidRDefault="00895C25" w:rsidP="001C3DA9">
            <w:pPr>
              <w:rPr>
                <w:rFonts w:cstheme="minorHAnsi"/>
                <w:szCs w:val="20"/>
              </w:rPr>
            </w:pPr>
          </w:p>
        </w:tc>
      </w:tr>
      <w:tr w:rsidR="00895C25" w:rsidRPr="00800706" w14:paraId="0F87E58D" w14:textId="77777777" w:rsidTr="001C3DA9">
        <w:trPr>
          <w:trHeight w:val="243"/>
        </w:trPr>
        <w:tc>
          <w:tcPr>
            <w:tcW w:w="539" w:type="pct"/>
          </w:tcPr>
          <w:p w14:paraId="5F2C9EFB" w14:textId="77777777" w:rsidR="00895C25" w:rsidRPr="00A419CD" w:rsidRDefault="00895C25" w:rsidP="001C3DA9">
            <w:pPr>
              <w:rPr>
                <w:rFonts w:cstheme="minorHAnsi"/>
                <w:szCs w:val="20"/>
              </w:rPr>
            </w:pPr>
            <w:r w:rsidRPr="00A419CD">
              <w:rPr>
                <w:rFonts w:cstheme="minorHAnsi"/>
                <w:szCs w:val="20"/>
              </w:rPr>
              <w:t>N/A</w:t>
            </w:r>
          </w:p>
        </w:tc>
        <w:tc>
          <w:tcPr>
            <w:tcW w:w="539" w:type="pct"/>
          </w:tcPr>
          <w:p w14:paraId="4DDBDD9F" w14:textId="77777777" w:rsidR="00895C25" w:rsidRPr="00920905" w:rsidRDefault="00895C25" w:rsidP="001C3DA9">
            <w:pPr>
              <w:rPr>
                <w:rFonts w:cstheme="minorHAnsi"/>
                <w:color w:val="FF0000"/>
                <w:szCs w:val="20"/>
              </w:rPr>
            </w:pPr>
            <w:r w:rsidRPr="00A419CD">
              <w:rPr>
                <w:rFonts w:cstheme="minorHAnsi"/>
                <w:szCs w:val="20"/>
              </w:rPr>
              <w:t>N/A</w:t>
            </w:r>
          </w:p>
        </w:tc>
        <w:tc>
          <w:tcPr>
            <w:tcW w:w="605" w:type="pct"/>
          </w:tcPr>
          <w:p w14:paraId="06D1FFD2" w14:textId="77777777" w:rsidR="00895C25" w:rsidRPr="00920905" w:rsidRDefault="00895C25" w:rsidP="001C3DA9">
            <w:pPr>
              <w:rPr>
                <w:rFonts w:cstheme="minorHAnsi"/>
                <w:color w:val="FF0000"/>
                <w:szCs w:val="20"/>
              </w:rPr>
            </w:pPr>
            <w:r w:rsidRPr="0070415F">
              <w:t>LT-41199</w:t>
            </w:r>
          </w:p>
        </w:tc>
        <w:tc>
          <w:tcPr>
            <w:tcW w:w="673" w:type="pct"/>
          </w:tcPr>
          <w:p w14:paraId="414FD3B6" w14:textId="77777777" w:rsidR="00895C25" w:rsidRPr="00920905" w:rsidRDefault="00895C25" w:rsidP="001C3DA9">
            <w:pPr>
              <w:rPr>
                <w:rFonts w:cstheme="minorHAnsi"/>
                <w:color w:val="FF0000"/>
                <w:szCs w:val="20"/>
              </w:rPr>
            </w:pPr>
            <w:r w:rsidRPr="00A419CD">
              <w:rPr>
                <w:rFonts w:cstheme="minorHAnsi"/>
                <w:szCs w:val="20"/>
              </w:rPr>
              <w:t>N/A</w:t>
            </w:r>
          </w:p>
        </w:tc>
        <w:tc>
          <w:tcPr>
            <w:tcW w:w="2644" w:type="pct"/>
          </w:tcPr>
          <w:p w14:paraId="2E79BE57" w14:textId="77777777" w:rsidR="00895C25" w:rsidRPr="00920905" w:rsidRDefault="00895C25" w:rsidP="001C3DA9">
            <w:pPr>
              <w:rPr>
                <w:color w:val="FF0000"/>
              </w:rPr>
            </w:pPr>
            <w:r>
              <w:rPr>
                <w:rFonts w:ascii="Calibri" w:hAnsi="Calibri" w:cs="Calibri"/>
                <w:color w:val="000000"/>
                <w:szCs w:val="20"/>
              </w:rPr>
              <w:t>Up to 64 Watt Interior Fixture T5 Linear Fluorescent  replacing less than 100 Watt lamp base case</w:t>
            </w:r>
          </w:p>
        </w:tc>
      </w:tr>
      <w:tr w:rsidR="00895C25" w:rsidRPr="00800706" w14:paraId="4114BC8D" w14:textId="77777777" w:rsidTr="001C3DA9">
        <w:trPr>
          <w:trHeight w:val="243"/>
        </w:trPr>
        <w:tc>
          <w:tcPr>
            <w:tcW w:w="539" w:type="pct"/>
          </w:tcPr>
          <w:p w14:paraId="6B7E12CF" w14:textId="77777777" w:rsidR="00895C25" w:rsidRPr="00A419CD" w:rsidRDefault="00895C25" w:rsidP="001C3DA9">
            <w:pPr>
              <w:rPr>
                <w:rFonts w:cstheme="minorHAnsi"/>
                <w:szCs w:val="20"/>
              </w:rPr>
            </w:pPr>
            <w:r w:rsidRPr="00A419CD">
              <w:rPr>
                <w:rFonts w:cstheme="minorHAnsi"/>
                <w:szCs w:val="20"/>
              </w:rPr>
              <w:t>N/A</w:t>
            </w:r>
          </w:p>
        </w:tc>
        <w:tc>
          <w:tcPr>
            <w:tcW w:w="539" w:type="pct"/>
          </w:tcPr>
          <w:p w14:paraId="5EA47F11" w14:textId="77777777" w:rsidR="00895C25" w:rsidRPr="00350BF1" w:rsidRDefault="00895C25" w:rsidP="001C3DA9">
            <w:pPr>
              <w:rPr>
                <w:rFonts w:cstheme="minorHAnsi"/>
                <w:szCs w:val="20"/>
              </w:rPr>
            </w:pPr>
            <w:r w:rsidRPr="00A419CD">
              <w:rPr>
                <w:rFonts w:cstheme="minorHAnsi"/>
                <w:szCs w:val="20"/>
              </w:rPr>
              <w:t>N/A</w:t>
            </w:r>
          </w:p>
        </w:tc>
        <w:tc>
          <w:tcPr>
            <w:tcW w:w="605" w:type="pct"/>
          </w:tcPr>
          <w:p w14:paraId="67AB905B" w14:textId="77777777" w:rsidR="00895C25" w:rsidRPr="00350BF1" w:rsidRDefault="00895C25" w:rsidP="001C3DA9">
            <w:pPr>
              <w:rPr>
                <w:rFonts w:cstheme="minorHAnsi"/>
                <w:szCs w:val="20"/>
              </w:rPr>
            </w:pPr>
            <w:r w:rsidRPr="0070415F">
              <w:t>LT-12866</w:t>
            </w:r>
          </w:p>
        </w:tc>
        <w:tc>
          <w:tcPr>
            <w:tcW w:w="673" w:type="pct"/>
          </w:tcPr>
          <w:p w14:paraId="3BCDE374" w14:textId="77777777" w:rsidR="00895C25" w:rsidRPr="00350BF1" w:rsidRDefault="00895C25" w:rsidP="001C3DA9">
            <w:pPr>
              <w:rPr>
                <w:rFonts w:cstheme="minorHAnsi"/>
                <w:szCs w:val="20"/>
              </w:rPr>
            </w:pPr>
            <w:r w:rsidRPr="00A419CD">
              <w:rPr>
                <w:rFonts w:cstheme="minorHAnsi"/>
                <w:szCs w:val="20"/>
              </w:rPr>
              <w:t>N/A</w:t>
            </w:r>
          </w:p>
        </w:tc>
        <w:tc>
          <w:tcPr>
            <w:tcW w:w="2644" w:type="pct"/>
          </w:tcPr>
          <w:p w14:paraId="649B9E4C" w14:textId="77777777" w:rsidR="00895C25" w:rsidRPr="00920905" w:rsidRDefault="00895C25" w:rsidP="001C3DA9">
            <w:r>
              <w:rPr>
                <w:rFonts w:ascii="Calibri" w:hAnsi="Calibri" w:cs="Calibri"/>
                <w:color w:val="000000"/>
                <w:szCs w:val="20"/>
              </w:rPr>
              <w:t>Up to 128 Watt Interior Fixture T5 Linear Fluorescent  replacing 101 - 175 Watt lamp base case</w:t>
            </w:r>
          </w:p>
        </w:tc>
      </w:tr>
      <w:tr w:rsidR="00895C25" w:rsidRPr="00800706" w14:paraId="6A8AE238" w14:textId="77777777" w:rsidTr="001C3DA9">
        <w:trPr>
          <w:trHeight w:val="243"/>
        </w:trPr>
        <w:tc>
          <w:tcPr>
            <w:tcW w:w="539" w:type="pct"/>
          </w:tcPr>
          <w:p w14:paraId="53923920" w14:textId="77777777" w:rsidR="00895C25" w:rsidRPr="00A419CD" w:rsidRDefault="00895C25" w:rsidP="001C3DA9">
            <w:pPr>
              <w:rPr>
                <w:rFonts w:cstheme="minorHAnsi"/>
                <w:szCs w:val="20"/>
              </w:rPr>
            </w:pPr>
            <w:r w:rsidRPr="00A419CD">
              <w:rPr>
                <w:rFonts w:cstheme="minorHAnsi"/>
                <w:szCs w:val="20"/>
              </w:rPr>
              <w:t>N/A</w:t>
            </w:r>
          </w:p>
        </w:tc>
        <w:tc>
          <w:tcPr>
            <w:tcW w:w="539" w:type="pct"/>
          </w:tcPr>
          <w:p w14:paraId="2BA65A8A" w14:textId="77777777" w:rsidR="00895C25" w:rsidRPr="00350BF1" w:rsidRDefault="00895C25" w:rsidP="001C3DA9">
            <w:pPr>
              <w:rPr>
                <w:rFonts w:cstheme="minorHAnsi"/>
                <w:szCs w:val="20"/>
              </w:rPr>
            </w:pPr>
            <w:r w:rsidRPr="00A419CD">
              <w:rPr>
                <w:rFonts w:cstheme="minorHAnsi"/>
                <w:szCs w:val="20"/>
              </w:rPr>
              <w:t>N/A</w:t>
            </w:r>
          </w:p>
        </w:tc>
        <w:tc>
          <w:tcPr>
            <w:tcW w:w="605" w:type="pct"/>
          </w:tcPr>
          <w:p w14:paraId="27EC38C6" w14:textId="77777777" w:rsidR="00895C25" w:rsidRPr="00350BF1" w:rsidRDefault="00895C25" w:rsidP="001C3DA9">
            <w:pPr>
              <w:rPr>
                <w:rFonts w:cstheme="minorHAnsi"/>
                <w:szCs w:val="20"/>
              </w:rPr>
            </w:pPr>
            <w:r w:rsidRPr="0070415F">
              <w:t>LT-84912</w:t>
            </w:r>
          </w:p>
        </w:tc>
        <w:tc>
          <w:tcPr>
            <w:tcW w:w="673" w:type="pct"/>
          </w:tcPr>
          <w:p w14:paraId="2C4AD933" w14:textId="77777777" w:rsidR="00895C25" w:rsidRPr="00350BF1" w:rsidRDefault="00895C25" w:rsidP="001C3DA9">
            <w:pPr>
              <w:rPr>
                <w:rFonts w:cstheme="minorHAnsi"/>
                <w:szCs w:val="20"/>
              </w:rPr>
            </w:pPr>
            <w:r w:rsidRPr="00A419CD">
              <w:rPr>
                <w:rFonts w:cstheme="minorHAnsi"/>
                <w:szCs w:val="20"/>
              </w:rPr>
              <w:t>N/A</w:t>
            </w:r>
          </w:p>
        </w:tc>
        <w:tc>
          <w:tcPr>
            <w:tcW w:w="2644" w:type="pct"/>
          </w:tcPr>
          <w:p w14:paraId="4E7B4820" w14:textId="77777777" w:rsidR="00895C25" w:rsidRPr="00920905" w:rsidRDefault="00895C25" w:rsidP="001C3DA9">
            <w:r>
              <w:rPr>
                <w:rFonts w:ascii="Calibri" w:hAnsi="Calibri" w:cs="Calibri"/>
                <w:color w:val="000000"/>
                <w:szCs w:val="20"/>
              </w:rPr>
              <w:t>Up to 192 Watt Interior Fixture T5 Linear Fluorescent  replacing 176 - 399 Watt lamp base case</w:t>
            </w:r>
          </w:p>
        </w:tc>
      </w:tr>
      <w:tr w:rsidR="00895C25" w:rsidRPr="00800706" w14:paraId="2131540F" w14:textId="77777777" w:rsidTr="001C3DA9">
        <w:trPr>
          <w:trHeight w:val="243"/>
        </w:trPr>
        <w:tc>
          <w:tcPr>
            <w:tcW w:w="539" w:type="pct"/>
          </w:tcPr>
          <w:p w14:paraId="6D155C14" w14:textId="77777777" w:rsidR="00895C25" w:rsidRPr="00A419CD" w:rsidRDefault="00895C25" w:rsidP="001C3DA9">
            <w:pPr>
              <w:rPr>
                <w:rFonts w:cstheme="minorHAnsi"/>
                <w:szCs w:val="20"/>
              </w:rPr>
            </w:pPr>
            <w:r w:rsidRPr="00A419CD">
              <w:rPr>
                <w:rFonts w:cstheme="minorHAnsi"/>
                <w:szCs w:val="20"/>
              </w:rPr>
              <w:t>N/A</w:t>
            </w:r>
          </w:p>
        </w:tc>
        <w:tc>
          <w:tcPr>
            <w:tcW w:w="539" w:type="pct"/>
          </w:tcPr>
          <w:p w14:paraId="677A4E05" w14:textId="77777777" w:rsidR="00895C25" w:rsidRPr="00350BF1" w:rsidRDefault="00895C25" w:rsidP="001C3DA9">
            <w:pPr>
              <w:rPr>
                <w:rFonts w:cstheme="minorHAnsi"/>
                <w:szCs w:val="20"/>
              </w:rPr>
            </w:pPr>
            <w:r w:rsidRPr="00A419CD">
              <w:rPr>
                <w:rFonts w:cstheme="minorHAnsi"/>
                <w:szCs w:val="20"/>
              </w:rPr>
              <w:t>N/A</w:t>
            </w:r>
          </w:p>
        </w:tc>
        <w:tc>
          <w:tcPr>
            <w:tcW w:w="605" w:type="pct"/>
          </w:tcPr>
          <w:p w14:paraId="5A0FFF3D" w14:textId="77777777" w:rsidR="00895C25" w:rsidRPr="00350BF1" w:rsidRDefault="00895C25" w:rsidP="001C3DA9">
            <w:pPr>
              <w:rPr>
                <w:rFonts w:cstheme="minorHAnsi"/>
                <w:szCs w:val="20"/>
              </w:rPr>
            </w:pPr>
            <w:r w:rsidRPr="0070415F">
              <w:t>LT-26100</w:t>
            </w:r>
          </w:p>
        </w:tc>
        <w:tc>
          <w:tcPr>
            <w:tcW w:w="673" w:type="pct"/>
          </w:tcPr>
          <w:p w14:paraId="32BFB6CE" w14:textId="77777777" w:rsidR="00895C25" w:rsidRPr="00350BF1" w:rsidRDefault="00895C25" w:rsidP="001C3DA9">
            <w:pPr>
              <w:rPr>
                <w:rFonts w:cstheme="minorHAnsi"/>
                <w:szCs w:val="20"/>
              </w:rPr>
            </w:pPr>
            <w:r w:rsidRPr="00A419CD">
              <w:rPr>
                <w:rFonts w:cstheme="minorHAnsi"/>
                <w:szCs w:val="20"/>
              </w:rPr>
              <w:t>N/A</w:t>
            </w:r>
          </w:p>
        </w:tc>
        <w:tc>
          <w:tcPr>
            <w:tcW w:w="2644" w:type="pct"/>
          </w:tcPr>
          <w:p w14:paraId="7FD4C909" w14:textId="77777777" w:rsidR="00895C25" w:rsidRPr="00920905" w:rsidRDefault="00895C25" w:rsidP="001C3DA9">
            <w:r>
              <w:rPr>
                <w:rFonts w:ascii="Calibri" w:hAnsi="Calibri" w:cs="Calibri"/>
                <w:color w:val="000000"/>
                <w:szCs w:val="20"/>
              </w:rPr>
              <w:t>Up to 244 Watt (Tier 1) Interior Fixture T5 Linear Fluorescent  replacing 400 Watt lamp base case</w:t>
            </w:r>
          </w:p>
        </w:tc>
      </w:tr>
      <w:tr w:rsidR="00895C25" w:rsidRPr="00800706" w14:paraId="3998DD00" w14:textId="77777777" w:rsidTr="001C3DA9">
        <w:trPr>
          <w:trHeight w:val="243"/>
        </w:trPr>
        <w:tc>
          <w:tcPr>
            <w:tcW w:w="539" w:type="pct"/>
          </w:tcPr>
          <w:p w14:paraId="7C728B9A" w14:textId="77777777" w:rsidR="00895C25" w:rsidRPr="00A419CD" w:rsidRDefault="00895C25" w:rsidP="001C3DA9">
            <w:pPr>
              <w:rPr>
                <w:rFonts w:cstheme="minorHAnsi"/>
                <w:szCs w:val="20"/>
              </w:rPr>
            </w:pPr>
            <w:r w:rsidRPr="00A419CD">
              <w:rPr>
                <w:rFonts w:cstheme="minorHAnsi"/>
                <w:szCs w:val="20"/>
              </w:rPr>
              <w:t>N/A</w:t>
            </w:r>
          </w:p>
        </w:tc>
        <w:tc>
          <w:tcPr>
            <w:tcW w:w="539" w:type="pct"/>
          </w:tcPr>
          <w:p w14:paraId="51629013" w14:textId="77777777" w:rsidR="00895C25" w:rsidRPr="00350BF1" w:rsidRDefault="00895C25" w:rsidP="001C3DA9">
            <w:pPr>
              <w:rPr>
                <w:rFonts w:cstheme="minorHAnsi"/>
                <w:szCs w:val="20"/>
              </w:rPr>
            </w:pPr>
            <w:r w:rsidRPr="00A419CD">
              <w:rPr>
                <w:rFonts w:cstheme="minorHAnsi"/>
                <w:szCs w:val="20"/>
              </w:rPr>
              <w:t>N/A</w:t>
            </w:r>
          </w:p>
        </w:tc>
        <w:tc>
          <w:tcPr>
            <w:tcW w:w="605" w:type="pct"/>
          </w:tcPr>
          <w:p w14:paraId="4D3E0FEE" w14:textId="77777777" w:rsidR="00895C25" w:rsidRPr="00350BF1" w:rsidRDefault="00895C25" w:rsidP="001C3DA9">
            <w:pPr>
              <w:rPr>
                <w:rFonts w:cstheme="minorHAnsi"/>
                <w:szCs w:val="20"/>
              </w:rPr>
            </w:pPr>
            <w:r w:rsidRPr="0070415F">
              <w:t>LT-55943</w:t>
            </w:r>
          </w:p>
        </w:tc>
        <w:tc>
          <w:tcPr>
            <w:tcW w:w="673" w:type="pct"/>
          </w:tcPr>
          <w:p w14:paraId="60F5EDEF" w14:textId="77777777" w:rsidR="00895C25" w:rsidRPr="00350BF1" w:rsidRDefault="00895C25" w:rsidP="001C3DA9">
            <w:pPr>
              <w:rPr>
                <w:rFonts w:cstheme="minorHAnsi"/>
                <w:szCs w:val="20"/>
              </w:rPr>
            </w:pPr>
            <w:r w:rsidRPr="00A419CD">
              <w:rPr>
                <w:rFonts w:cstheme="minorHAnsi"/>
                <w:szCs w:val="20"/>
              </w:rPr>
              <w:t>N/A</w:t>
            </w:r>
          </w:p>
        </w:tc>
        <w:tc>
          <w:tcPr>
            <w:tcW w:w="2644" w:type="pct"/>
          </w:tcPr>
          <w:p w14:paraId="55B5C6CF" w14:textId="77777777" w:rsidR="00895C25" w:rsidRPr="00920905" w:rsidRDefault="00895C25" w:rsidP="001C3DA9">
            <w:r w:rsidRPr="00C50C38">
              <w:rPr>
                <w:rFonts w:ascii="Calibri" w:hAnsi="Calibri" w:cs="Calibri"/>
                <w:color w:val="000000"/>
                <w:szCs w:val="20"/>
              </w:rPr>
              <w:t>245 to 360 Watt (Tier 2) Interior Fixture T5 Linear Flu</w:t>
            </w:r>
            <w:r>
              <w:rPr>
                <w:rFonts w:ascii="Calibri" w:hAnsi="Calibri" w:cs="Calibri"/>
                <w:color w:val="000000"/>
                <w:szCs w:val="20"/>
              </w:rPr>
              <w:t>o</w:t>
            </w:r>
            <w:r w:rsidRPr="00C50C38">
              <w:rPr>
                <w:rFonts w:ascii="Calibri" w:hAnsi="Calibri" w:cs="Calibri"/>
                <w:color w:val="000000"/>
                <w:szCs w:val="20"/>
              </w:rPr>
              <w:t>rescent  replacing 400 Watt lamp base case</w:t>
            </w:r>
          </w:p>
        </w:tc>
      </w:tr>
      <w:tr w:rsidR="00895C25" w:rsidRPr="00800706" w14:paraId="58CD0F1F" w14:textId="77777777" w:rsidTr="001C3DA9">
        <w:trPr>
          <w:trHeight w:val="243"/>
        </w:trPr>
        <w:tc>
          <w:tcPr>
            <w:tcW w:w="539" w:type="pct"/>
          </w:tcPr>
          <w:p w14:paraId="38630EC2" w14:textId="77777777" w:rsidR="00895C25" w:rsidRPr="00A419CD" w:rsidRDefault="00895C25" w:rsidP="001C3DA9">
            <w:pPr>
              <w:rPr>
                <w:rFonts w:cstheme="minorHAnsi"/>
                <w:szCs w:val="20"/>
              </w:rPr>
            </w:pPr>
            <w:r w:rsidRPr="00A419CD">
              <w:rPr>
                <w:rFonts w:cstheme="minorHAnsi"/>
                <w:szCs w:val="20"/>
              </w:rPr>
              <w:t>N/A</w:t>
            </w:r>
          </w:p>
        </w:tc>
        <w:tc>
          <w:tcPr>
            <w:tcW w:w="539" w:type="pct"/>
          </w:tcPr>
          <w:p w14:paraId="4B3A0670" w14:textId="77777777" w:rsidR="00895C25" w:rsidRPr="00350BF1" w:rsidRDefault="00895C25" w:rsidP="001C3DA9">
            <w:pPr>
              <w:rPr>
                <w:rFonts w:cstheme="minorHAnsi"/>
                <w:szCs w:val="20"/>
              </w:rPr>
            </w:pPr>
            <w:r w:rsidRPr="00A419CD">
              <w:rPr>
                <w:rFonts w:cstheme="minorHAnsi"/>
                <w:szCs w:val="20"/>
              </w:rPr>
              <w:t>N/A</w:t>
            </w:r>
          </w:p>
        </w:tc>
        <w:tc>
          <w:tcPr>
            <w:tcW w:w="605" w:type="pct"/>
          </w:tcPr>
          <w:p w14:paraId="0C15C7FD" w14:textId="77777777" w:rsidR="00895C25" w:rsidRPr="00350BF1" w:rsidRDefault="00895C25" w:rsidP="001C3DA9">
            <w:pPr>
              <w:rPr>
                <w:rFonts w:cstheme="minorHAnsi"/>
                <w:szCs w:val="20"/>
              </w:rPr>
            </w:pPr>
            <w:r w:rsidRPr="0070415F">
              <w:t>LT-92448</w:t>
            </w:r>
          </w:p>
        </w:tc>
        <w:tc>
          <w:tcPr>
            <w:tcW w:w="673" w:type="pct"/>
          </w:tcPr>
          <w:p w14:paraId="3AA5EB75" w14:textId="77777777" w:rsidR="00895C25" w:rsidRPr="00350BF1" w:rsidRDefault="00895C25" w:rsidP="001C3DA9">
            <w:pPr>
              <w:rPr>
                <w:rFonts w:cstheme="minorHAnsi"/>
                <w:szCs w:val="20"/>
              </w:rPr>
            </w:pPr>
            <w:r w:rsidRPr="00A419CD">
              <w:rPr>
                <w:rFonts w:cstheme="minorHAnsi"/>
                <w:szCs w:val="20"/>
              </w:rPr>
              <w:t>N/A</w:t>
            </w:r>
          </w:p>
        </w:tc>
        <w:tc>
          <w:tcPr>
            <w:tcW w:w="2644" w:type="pct"/>
          </w:tcPr>
          <w:p w14:paraId="0A46CA57" w14:textId="77777777" w:rsidR="00895C25" w:rsidRPr="00920905" w:rsidRDefault="00895C25" w:rsidP="001C3DA9">
            <w:r>
              <w:rPr>
                <w:rFonts w:ascii="Calibri" w:hAnsi="Calibri" w:cs="Calibri"/>
                <w:color w:val="000000"/>
                <w:szCs w:val="20"/>
              </w:rPr>
              <w:t>Up to 600 Watt Interior Fixture T5 Linear Fluorescent  replacing greater than 400 Watt lamp base case</w:t>
            </w:r>
          </w:p>
        </w:tc>
      </w:tr>
      <w:tr w:rsidR="00895C25" w:rsidRPr="00800706" w14:paraId="7AC14065" w14:textId="77777777" w:rsidTr="001C3DA9">
        <w:trPr>
          <w:trHeight w:val="243"/>
        </w:trPr>
        <w:tc>
          <w:tcPr>
            <w:tcW w:w="539" w:type="pct"/>
          </w:tcPr>
          <w:p w14:paraId="4DC9F5D9" w14:textId="77777777" w:rsidR="00895C25" w:rsidRPr="00A419CD" w:rsidRDefault="00895C25" w:rsidP="001C3DA9">
            <w:pPr>
              <w:rPr>
                <w:rFonts w:cstheme="minorHAnsi"/>
                <w:szCs w:val="20"/>
              </w:rPr>
            </w:pPr>
            <w:r w:rsidRPr="00A419CD">
              <w:rPr>
                <w:rFonts w:cstheme="minorHAnsi"/>
                <w:szCs w:val="20"/>
              </w:rPr>
              <w:t>N/A</w:t>
            </w:r>
          </w:p>
        </w:tc>
        <w:tc>
          <w:tcPr>
            <w:tcW w:w="539" w:type="pct"/>
          </w:tcPr>
          <w:p w14:paraId="57E95AA6" w14:textId="77777777" w:rsidR="00895C25" w:rsidRPr="00350BF1" w:rsidRDefault="00895C25" w:rsidP="001C3DA9">
            <w:pPr>
              <w:rPr>
                <w:rFonts w:cstheme="minorHAnsi"/>
                <w:szCs w:val="20"/>
              </w:rPr>
            </w:pPr>
            <w:r w:rsidRPr="00A419CD">
              <w:rPr>
                <w:rFonts w:cstheme="minorHAnsi"/>
                <w:szCs w:val="20"/>
              </w:rPr>
              <w:t>N/A</w:t>
            </w:r>
          </w:p>
        </w:tc>
        <w:tc>
          <w:tcPr>
            <w:tcW w:w="605" w:type="pct"/>
          </w:tcPr>
          <w:p w14:paraId="2E4783D3" w14:textId="77777777" w:rsidR="00895C25" w:rsidRPr="00350BF1" w:rsidRDefault="00895C25" w:rsidP="001C3DA9">
            <w:pPr>
              <w:rPr>
                <w:rFonts w:cstheme="minorHAnsi"/>
                <w:szCs w:val="20"/>
              </w:rPr>
            </w:pPr>
            <w:r w:rsidRPr="0070415F">
              <w:t>LT-38287</w:t>
            </w:r>
          </w:p>
        </w:tc>
        <w:tc>
          <w:tcPr>
            <w:tcW w:w="673" w:type="pct"/>
          </w:tcPr>
          <w:p w14:paraId="0898F040" w14:textId="77777777" w:rsidR="00895C25" w:rsidRPr="00350BF1" w:rsidRDefault="00895C25" w:rsidP="001C3DA9">
            <w:pPr>
              <w:rPr>
                <w:rFonts w:cstheme="minorHAnsi"/>
                <w:szCs w:val="20"/>
              </w:rPr>
            </w:pPr>
            <w:r w:rsidRPr="00A419CD">
              <w:rPr>
                <w:rFonts w:cstheme="minorHAnsi"/>
                <w:szCs w:val="20"/>
              </w:rPr>
              <w:t>N/A</w:t>
            </w:r>
          </w:p>
        </w:tc>
        <w:tc>
          <w:tcPr>
            <w:tcW w:w="2644" w:type="pct"/>
          </w:tcPr>
          <w:p w14:paraId="6E457C5F" w14:textId="77777777" w:rsidR="00895C25" w:rsidRPr="00920905" w:rsidRDefault="00895C25" w:rsidP="001C3DA9">
            <w:r>
              <w:rPr>
                <w:rFonts w:ascii="Calibri" w:hAnsi="Calibri" w:cs="Calibri"/>
                <w:color w:val="000000"/>
                <w:szCs w:val="20"/>
              </w:rPr>
              <w:t>Up to 244 Watt  Interior Fixture T5 Linear Fluorescent replacing 350 Watt lamp base case</w:t>
            </w:r>
          </w:p>
        </w:tc>
      </w:tr>
      <w:tr w:rsidR="00895C25" w:rsidRPr="00800706" w14:paraId="54092C1F" w14:textId="77777777" w:rsidTr="001C3DA9">
        <w:trPr>
          <w:trHeight w:val="243"/>
        </w:trPr>
        <w:tc>
          <w:tcPr>
            <w:tcW w:w="539" w:type="pct"/>
          </w:tcPr>
          <w:p w14:paraId="62D05481" w14:textId="77777777" w:rsidR="00895C25" w:rsidRPr="00A419CD" w:rsidRDefault="00895C25" w:rsidP="001C3DA9">
            <w:pPr>
              <w:rPr>
                <w:rFonts w:cstheme="minorHAnsi"/>
                <w:szCs w:val="20"/>
              </w:rPr>
            </w:pPr>
            <w:r w:rsidRPr="00A419CD">
              <w:rPr>
                <w:rFonts w:cstheme="minorHAnsi"/>
                <w:szCs w:val="20"/>
              </w:rPr>
              <w:t>N/A</w:t>
            </w:r>
          </w:p>
        </w:tc>
        <w:tc>
          <w:tcPr>
            <w:tcW w:w="539" w:type="pct"/>
          </w:tcPr>
          <w:p w14:paraId="6D46D5C4" w14:textId="77777777" w:rsidR="00895C25" w:rsidRPr="00350BF1" w:rsidRDefault="00895C25" w:rsidP="001C3DA9">
            <w:pPr>
              <w:rPr>
                <w:rFonts w:cstheme="minorHAnsi"/>
                <w:szCs w:val="20"/>
              </w:rPr>
            </w:pPr>
            <w:r w:rsidRPr="00A419CD">
              <w:rPr>
                <w:rFonts w:cstheme="minorHAnsi"/>
                <w:szCs w:val="20"/>
              </w:rPr>
              <w:t>N/A</w:t>
            </w:r>
          </w:p>
        </w:tc>
        <w:tc>
          <w:tcPr>
            <w:tcW w:w="605" w:type="pct"/>
          </w:tcPr>
          <w:p w14:paraId="5183B88A" w14:textId="77777777" w:rsidR="00895C25" w:rsidRPr="00350BF1" w:rsidRDefault="00895C25" w:rsidP="001C3DA9">
            <w:pPr>
              <w:rPr>
                <w:rFonts w:cstheme="minorHAnsi"/>
                <w:szCs w:val="20"/>
              </w:rPr>
            </w:pPr>
            <w:r w:rsidRPr="0070415F">
              <w:t>LT-10232</w:t>
            </w:r>
          </w:p>
        </w:tc>
        <w:tc>
          <w:tcPr>
            <w:tcW w:w="673" w:type="pct"/>
          </w:tcPr>
          <w:p w14:paraId="454B552F" w14:textId="77777777" w:rsidR="00895C25" w:rsidRPr="00350BF1" w:rsidRDefault="00895C25" w:rsidP="001C3DA9">
            <w:pPr>
              <w:rPr>
                <w:rFonts w:cstheme="minorHAnsi"/>
                <w:szCs w:val="20"/>
              </w:rPr>
            </w:pPr>
            <w:r w:rsidRPr="00A419CD">
              <w:rPr>
                <w:rFonts w:cstheme="minorHAnsi"/>
                <w:szCs w:val="20"/>
              </w:rPr>
              <w:t>N/A</w:t>
            </w:r>
          </w:p>
        </w:tc>
        <w:tc>
          <w:tcPr>
            <w:tcW w:w="2644" w:type="pct"/>
          </w:tcPr>
          <w:p w14:paraId="760FB7C0" w14:textId="77777777" w:rsidR="00895C25" w:rsidRPr="00920905" w:rsidRDefault="00895C25" w:rsidP="001C3DA9">
            <w:r>
              <w:rPr>
                <w:rFonts w:ascii="Calibri" w:hAnsi="Calibri" w:cs="Calibri"/>
                <w:color w:val="000000"/>
                <w:szCs w:val="20"/>
              </w:rPr>
              <w:t>(4) 46in (2) Programmed Start Ballast - Normal Light Output - HO T5 Linear Fluorescent replacing 400 Watt Mercury Vapor</w:t>
            </w:r>
          </w:p>
        </w:tc>
      </w:tr>
      <w:tr w:rsidR="00895C25" w:rsidRPr="00800706" w14:paraId="3422380B" w14:textId="77777777" w:rsidTr="001C3DA9">
        <w:trPr>
          <w:trHeight w:val="243"/>
        </w:trPr>
        <w:tc>
          <w:tcPr>
            <w:tcW w:w="539" w:type="pct"/>
          </w:tcPr>
          <w:p w14:paraId="7EEE8656" w14:textId="77777777" w:rsidR="00895C25" w:rsidRPr="00A419CD" w:rsidRDefault="00895C25" w:rsidP="001C3DA9">
            <w:pPr>
              <w:rPr>
                <w:rFonts w:cstheme="minorHAnsi"/>
                <w:szCs w:val="20"/>
              </w:rPr>
            </w:pPr>
            <w:r w:rsidRPr="00A419CD">
              <w:rPr>
                <w:rFonts w:cstheme="minorHAnsi"/>
                <w:szCs w:val="20"/>
              </w:rPr>
              <w:t>N/A</w:t>
            </w:r>
          </w:p>
        </w:tc>
        <w:tc>
          <w:tcPr>
            <w:tcW w:w="539" w:type="pct"/>
          </w:tcPr>
          <w:p w14:paraId="1FA492B8" w14:textId="77777777" w:rsidR="00895C25" w:rsidRPr="00350BF1" w:rsidRDefault="00895C25" w:rsidP="001C3DA9">
            <w:pPr>
              <w:rPr>
                <w:rFonts w:cstheme="minorHAnsi"/>
                <w:szCs w:val="20"/>
              </w:rPr>
            </w:pPr>
            <w:r w:rsidRPr="00A419CD">
              <w:rPr>
                <w:rFonts w:cstheme="minorHAnsi"/>
                <w:szCs w:val="20"/>
              </w:rPr>
              <w:t>N/A</w:t>
            </w:r>
          </w:p>
        </w:tc>
        <w:tc>
          <w:tcPr>
            <w:tcW w:w="605" w:type="pct"/>
          </w:tcPr>
          <w:p w14:paraId="079D71E4" w14:textId="77777777" w:rsidR="00895C25" w:rsidRPr="00350BF1" w:rsidRDefault="00895C25" w:rsidP="001C3DA9">
            <w:pPr>
              <w:rPr>
                <w:rFonts w:cstheme="minorHAnsi"/>
                <w:szCs w:val="20"/>
              </w:rPr>
            </w:pPr>
            <w:r w:rsidRPr="0070415F">
              <w:t>LT-28754</w:t>
            </w:r>
          </w:p>
        </w:tc>
        <w:tc>
          <w:tcPr>
            <w:tcW w:w="673" w:type="pct"/>
          </w:tcPr>
          <w:p w14:paraId="3E26F186" w14:textId="77777777" w:rsidR="00895C25" w:rsidRPr="00350BF1" w:rsidRDefault="00895C25" w:rsidP="001C3DA9">
            <w:pPr>
              <w:rPr>
                <w:rFonts w:cstheme="minorHAnsi"/>
                <w:szCs w:val="20"/>
              </w:rPr>
            </w:pPr>
            <w:r w:rsidRPr="00A419CD">
              <w:rPr>
                <w:rFonts w:cstheme="minorHAnsi"/>
                <w:szCs w:val="20"/>
              </w:rPr>
              <w:t>N/A</w:t>
            </w:r>
          </w:p>
        </w:tc>
        <w:tc>
          <w:tcPr>
            <w:tcW w:w="2644" w:type="pct"/>
          </w:tcPr>
          <w:p w14:paraId="770C7645" w14:textId="77777777" w:rsidR="00895C25" w:rsidRPr="00920905" w:rsidRDefault="00895C25" w:rsidP="001C3DA9">
            <w:r>
              <w:rPr>
                <w:rFonts w:ascii="Calibri" w:hAnsi="Calibri" w:cs="Calibri"/>
                <w:color w:val="000000"/>
                <w:szCs w:val="20"/>
              </w:rPr>
              <w:t>(6) 46in (3) Programmed Start Ballast - Normal Light Output - HO T5 Linear Fluorescent replacing 400 Watt Pulse Start HID</w:t>
            </w:r>
          </w:p>
        </w:tc>
      </w:tr>
      <w:tr w:rsidR="00895C25" w:rsidRPr="00800706" w14:paraId="014B11B4" w14:textId="77777777" w:rsidTr="001C3DA9">
        <w:trPr>
          <w:trHeight w:val="243"/>
        </w:trPr>
        <w:tc>
          <w:tcPr>
            <w:tcW w:w="539" w:type="pct"/>
          </w:tcPr>
          <w:p w14:paraId="1FCCC4F5" w14:textId="77777777" w:rsidR="00895C25" w:rsidRPr="00A419CD" w:rsidRDefault="00895C25" w:rsidP="001C3DA9">
            <w:pPr>
              <w:rPr>
                <w:rFonts w:cstheme="minorHAnsi"/>
                <w:szCs w:val="20"/>
              </w:rPr>
            </w:pPr>
            <w:r w:rsidRPr="00A419CD">
              <w:rPr>
                <w:rFonts w:cstheme="minorHAnsi"/>
                <w:szCs w:val="20"/>
              </w:rPr>
              <w:t>N/A</w:t>
            </w:r>
          </w:p>
        </w:tc>
        <w:tc>
          <w:tcPr>
            <w:tcW w:w="539" w:type="pct"/>
          </w:tcPr>
          <w:p w14:paraId="0DAC9F02" w14:textId="77777777" w:rsidR="00895C25" w:rsidRPr="00350BF1" w:rsidRDefault="00895C25" w:rsidP="001C3DA9">
            <w:pPr>
              <w:rPr>
                <w:rFonts w:cstheme="minorHAnsi"/>
                <w:szCs w:val="20"/>
              </w:rPr>
            </w:pPr>
            <w:r w:rsidRPr="00A419CD">
              <w:rPr>
                <w:rFonts w:cstheme="minorHAnsi"/>
                <w:szCs w:val="20"/>
              </w:rPr>
              <w:t>N/A</w:t>
            </w:r>
          </w:p>
        </w:tc>
        <w:tc>
          <w:tcPr>
            <w:tcW w:w="605" w:type="pct"/>
          </w:tcPr>
          <w:p w14:paraId="325CC574" w14:textId="77777777" w:rsidR="00895C25" w:rsidRPr="00350BF1" w:rsidRDefault="00895C25" w:rsidP="001C3DA9">
            <w:pPr>
              <w:rPr>
                <w:rFonts w:cstheme="minorHAnsi"/>
                <w:szCs w:val="20"/>
              </w:rPr>
            </w:pPr>
            <w:r w:rsidRPr="0070415F">
              <w:t>LT-39676</w:t>
            </w:r>
          </w:p>
        </w:tc>
        <w:tc>
          <w:tcPr>
            <w:tcW w:w="673" w:type="pct"/>
          </w:tcPr>
          <w:p w14:paraId="2C0FAFAF" w14:textId="77777777" w:rsidR="00895C25" w:rsidRPr="00350BF1" w:rsidRDefault="00895C25" w:rsidP="001C3DA9">
            <w:pPr>
              <w:rPr>
                <w:rFonts w:cstheme="minorHAnsi"/>
                <w:szCs w:val="20"/>
              </w:rPr>
            </w:pPr>
            <w:r w:rsidRPr="00A419CD">
              <w:rPr>
                <w:rFonts w:cstheme="minorHAnsi"/>
                <w:szCs w:val="20"/>
              </w:rPr>
              <w:t>N/A</w:t>
            </w:r>
          </w:p>
        </w:tc>
        <w:tc>
          <w:tcPr>
            <w:tcW w:w="2644" w:type="pct"/>
          </w:tcPr>
          <w:p w14:paraId="70D39D6B" w14:textId="77777777" w:rsidR="00895C25" w:rsidRPr="00920905" w:rsidRDefault="00895C25" w:rsidP="001C3DA9">
            <w:r>
              <w:rPr>
                <w:rFonts w:ascii="Calibri" w:hAnsi="Calibri" w:cs="Calibri"/>
                <w:color w:val="000000"/>
                <w:szCs w:val="20"/>
              </w:rPr>
              <w:t>(6) 46in (3) Programmed Start Ballast - Normal Light Output - HO T5 Linear Fluorescent replacing 700 Watt Mercury Vapor</w:t>
            </w:r>
          </w:p>
        </w:tc>
      </w:tr>
    </w:tbl>
    <w:p w14:paraId="195ACF2C" w14:textId="77777777" w:rsidR="00382774" w:rsidRDefault="00382774" w:rsidP="00C10C97">
      <w:pPr>
        <w:pStyle w:val="Reminders"/>
        <w:rPr>
          <w:rFonts w:asciiTheme="minorHAnsi" w:hAnsiTheme="minorHAnsi" w:cstheme="minorHAnsi"/>
          <w:b/>
          <w:i w:val="0"/>
          <w:color w:val="auto"/>
          <w:szCs w:val="22"/>
        </w:rPr>
      </w:pPr>
    </w:p>
    <w:p w14:paraId="534C0E9E" w14:textId="1AF2AB24" w:rsidR="00C10C97" w:rsidRPr="00C10C97" w:rsidRDefault="00C10C97" w:rsidP="00C10C97">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Eligibility Requirements</w:t>
      </w:r>
    </w:p>
    <w:p w14:paraId="4F08F1B8" w14:textId="77777777" w:rsidR="00C10C97" w:rsidRDefault="00C10C97" w:rsidP="00C10C97">
      <w:pPr>
        <w:pStyle w:val="Reminders"/>
        <w:rPr>
          <w:rFonts w:asciiTheme="minorHAnsi" w:hAnsiTheme="minorHAnsi" w:cstheme="minorHAnsi"/>
          <w:i w:val="0"/>
          <w:color w:val="auto"/>
          <w:szCs w:val="22"/>
        </w:rPr>
      </w:pPr>
      <w:r w:rsidRPr="00C10C97">
        <w:rPr>
          <w:rFonts w:asciiTheme="minorHAnsi" w:hAnsiTheme="minorHAnsi" w:cstheme="minorHAnsi"/>
          <w:i w:val="0"/>
          <w:color w:val="auto"/>
          <w:szCs w:val="22"/>
        </w:rPr>
        <w:t xml:space="preserve">In all cases, the replacement linear fluorescent fixtures must be a lower wattage than the existing base case and all base cases and measure cases must fall into the wattage classifications shown in </w:t>
      </w:r>
      <w:r>
        <w:rPr>
          <w:rFonts w:asciiTheme="minorHAnsi" w:hAnsiTheme="minorHAnsi" w:cstheme="minorHAnsi"/>
          <w:i w:val="0"/>
          <w:color w:val="auto"/>
          <w:szCs w:val="22"/>
        </w:rPr>
        <w:t xml:space="preserve">Measures and Codes Table shown above. </w:t>
      </w:r>
    </w:p>
    <w:p w14:paraId="1A1AE4A8" w14:textId="77777777" w:rsidR="00C10C97" w:rsidRDefault="00C10C97" w:rsidP="00C10C97">
      <w:pPr>
        <w:pStyle w:val="Reminders"/>
        <w:rPr>
          <w:rFonts w:asciiTheme="minorHAnsi" w:hAnsiTheme="minorHAnsi" w:cstheme="minorHAnsi"/>
          <w:i w:val="0"/>
          <w:color w:val="auto"/>
          <w:szCs w:val="22"/>
        </w:rPr>
      </w:pPr>
    </w:p>
    <w:p w14:paraId="137FA3EA" w14:textId="04F86F74" w:rsidR="00C10C97" w:rsidRPr="00C10C97" w:rsidRDefault="00C10C97" w:rsidP="00C10C97">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Documentation Requirements</w:t>
      </w:r>
    </w:p>
    <w:p w14:paraId="30FADB35" w14:textId="252DEEF8" w:rsidR="00C10C97" w:rsidRPr="00C10C97" w:rsidRDefault="00C10C97" w:rsidP="00C10C97">
      <w:pPr>
        <w:pStyle w:val="Reminders"/>
        <w:rPr>
          <w:rFonts w:asciiTheme="minorHAnsi" w:hAnsiTheme="minorHAnsi" w:cstheme="minorHAnsi"/>
          <w:i w:val="0"/>
          <w:color w:val="auto"/>
          <w:szCs w:val="22"/>
        </w:rPr>
      </w:pPr>
      <w:r w:rsidRPr="00C10C97">
        <w:rPr>
          <w:rFonts w:asciiTheme="minorHAnsi" w:hAnsiTheme="minorHAnsi" w:cstheme="minorHAnsi"/>
          <w:i w:val="0"/>
          <w:color w:val="auto"/>
          <w:szCs w:val="22"/>
        </w:rPr>
        <w:t xml:space="preserve">For direct install measures, the program must track the installed and removed equipment to the degree specified in the contracts set up with SCE.  </w:t>
      </w:r>
    </w:p>
    <w:p w14:paraId="04725A64" w14:textId="13290437" w:rsidR="00C10C97" w:rsidRPr="00C10C97" w:rsidRDefault="00C10C97" w:rsidP="00C10C97">
      <w:pPr>
        <w:pStyle w:val="Reminders"/>
        <w:rPr>
          <w:rFonts w:asciiTheme="minorHAnsi" w:hAnsiTheme="minorHAnsi" w:cstheme="minorHAnsi"/>
          <w:i w:val="0"/>
          <w:color w:val="auto"/>
          <w:szCs w:val="22"/>
        </w:rPr>
      </w:pPr>
      <w:r w:rsidRPr="00C10C97">
        <w:rPr>
          <w:rFonts w:asciiTheme="minorHAnsi" w:hAnsiTheme="minorHAnsi" w:cstheme="minorHAnsi"/>
          <w:i w:val="0"/>
          <w:color w:val="auto"/>
          <w:szCs w:val="22"/>
        </w:rPr>
        <w:lastRenderedPageBreak/>
        <w:t>For all fixture replacement measures, if the m</w:t>
      </w:r>
      <w:r w:rsidR="00E5005D">
        <w:rPr>
          <w:rFonts w:asciiTheme="minorHAnsi" w:hAnsiTheme="minorHAnsi" w:cstheme="minorHAnsi"/>
          <w:i w:val="0"/>
          <w:color w:val="auto"/>
          <w:szCs w:val="22"/>
        </w:rPr>
        <w:t>easure is limited to projects c</w:t>
      </w:r>
      <w:r w:rsidRPr="00C10C97">
        <w:rPr>
          <w:rFonts w:asciiTheme="minorHAnsi" w:hAnsiTheme="minorHAnsi" w:cstheme="minorHAnsi"/>
          <w:i w:val="0"/>
          <w:color w:val="auto"/>
          <w:szCs w:val="22"/>
        </w:rPr>
        <w:t>overed by Title 24 Section 14</w:t>
      </w:r>
      <w:r w:rsidR="007F4D04">
        <w:rPr>
          <w:rFonts w:asciiTheme="minorHAnsi" w:hAnsiTheme="minorHAnsi" w:cstheme="minorHAnsi"/>
          <w:i w:val="0"/>
          <w:color w:val="auto"/>
          <w:szCs w:val="22"/>
        </w:rPr>
        <w:t>1</w:t>
      </w:r>
      <w:r w:rsidRPr="00C10C97">
        <w:rPr>
          <w:rFonts w:asciiTheme="minorHAnsi" w:hAnsiTheme="minorHAnsi" w:cstheme="minorHAnsi"/>
          <w:i w:val="0"/>
          <w:color w:val="auto"/>
          <w:szCs w:val="22"/>
        </w:rPr>
        <w:t>, require the submission of pre and post lighting construction documents that clearly identify all enclosed spaces and which fixtures have been replaced.</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20692DC5" w14:textId="2FD9DEDF" w:rsidR="00C10C97" w:rsidRPr="0080212A" w:rsidRDefault="00C10C97" w:rsidP="00C10C97">
      <w:pPr>
        <w:rPr>
          <w:rFonts w:cstheme="minorHAnsi"/>
          <w:szCs w:val="22"/>
        </w:rPr>
      </w:pPr>
      <w:r w:rsidRPr="0080212A">
        <w:rPr>
          <w:rFonts w:ascii="Calibri" w:hAnsi="Calibri" w:cs="Calibri"/>
          <w:szCs w:val="22"/>
        </w:rPr>
        <w:t xml:space="preserve">This work paper details the </w:t>
      </w:r>
      <w:r w:rsidRPr="0080212A">
        <w:rPr>
          <w:rFonts w:cstheme="minorHAnsi"/>
          <w:szCs w:val="22"/>
        </w:rPr>
        <w:t xml:space="preserve">replacement of existing incandescent, mercury vapor, standard </w:t>
      </w:r>
      <w:r w:rsidR="00895C25">
        <w:rPr>
          <w:rFonts w:cstheme="minorHAnsi"/>
          <w:szCs w:val="22"/>
        </w:rPr>
        <w:t xml:space="preserve">or pulse-start </w:t>
      </w:r>
      <w:r w:rsidRPr="0080212A">
        <w:rPr>
          <w:rFonts w:cstheme="minorHAnsi"/>
          <w:szCs w:val="22"/>
        </w:rPr>
        <w:t xml:space="preserve">metal halide, or high pressure sodium interior lighting fixtures with more efficient linear fluorescent fixtures (T5, or T5HO).  </w:t>
      </w:r>
      <w:r w:rsidR="00275EF0">
        <w:rPr>
          <w:rFonts w:cstheme="minorHAnsi"/>
          <w:szCs w:val="22"/>
        </w:rPr>
        <w:t xml:space="preserve">For New Construction scenarios, the only allowed base case would be Metal halide and Pulse Start Metal halide. To elaborate, when a project is applied using NEW as install method only code baseline defined in section 1.1 will be replaceable with the measure defined in this workpaper.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8E55CDD" w14:textId="77777777" w:rsidR="00F33C0B" w:rsidRDefault="00C10C97" w:rsidP="00C10C97">
      <w:pPr>
        <w:pStyle w:val="NoSpacing"/>
      </w:pPr>
      <w:r>
        <w:t>The delivery method is</w:t>
      </w:r>
      <w:r w:rsidRPr="00CB4445">
        <w:t>:</w:t>
      </w:r>
    </w:p>
    <w:p w14:paraId="7706606A" w14:textId="21466EEC" w:rsidR="00C10C97" w:rsidRDefault="00C10C97" w:rsidP="005D016F">
      <w:pPr>
        <w:pStyle w:val="NoSpacing"/>
        <w:rPr>
          <w:b/>
        </w:rPr>
      </w:pPr>
      <w:r>
        <w:rPr>
          <w:b/>
        </w:rPr>
        <w:t>Financial Support – Direct Install</w:t>
      </w:r>
    </w:p>
    <w:p w14:paraId="3A5AE794" w14:textId="2B64C149" w:rsidR="00C10C97" w:rsidRDefault="00C10C97" w:rsidP="005D016F">
      <w:pPr>
        <w:pStyle w:val="NoSpacing"/>
        <w:spacing w:before="60"/>
        <w:rPr>
          <w:b/>
        </w:rPr>
      </w:pPr>
      <w:r>
        <w:rPr>
          <w:b/>
        </w:rPr>
        <w:t>Financial Support – Downstream Incentive – Deemed</w:t>
      </w:r>
    </w:p>
    <w:p w14:paraId="7F6CD590" w14:textId="77BECE5E" w:rsidR="00681367" w:rsidRDefault="00681367" w:rsidP="005D016F">
      <w:pPr>
        <w:pStyle w:val="NoSpacing"/>
        <w:spacing w:before="60"/>
        <w:rPr>
          <w:b/>
        </w:rPr>
      </w:pPr>
      <w:r>
        <w:rPr>
          <w:b/>
        </w:rPr>
        <w:t>Midstream Programs – Mid-Stream Incentives</w:t>
      </w:r>
    </w:p>
    <w:p w14:paraId="6C579B1F" w14:textId="6DFFDCD7" w:rsidR="00C10C97" w:rsidRPr="00681367" w:rsidRDefault="00C10C97" w:rsidP="00681367">
      <w:pPr>
        <w:pStyle w:val="NoSpacing"/>
        <w:ind w:left="720"/>
        <w:rPr>
          <w:rFonts w:ascii="Calibri" w:hAnsi="Calibri" w:cs="Arial"/>
          <w:color w:val="000000"/>
          <w:sz w:val="20"/>
          <w:szCs w:val="20"/>
        </w:rPr>
      </w:pPr>
      <w:r>
        <w:rPr>
          <w:b/>
        </w:rPr>
        <w:tab/>
      </w:r>
      <w:r>
        <w:rPr>
          <w:b/>
        </w:rPr>
        <w:tab/>
      </w:r>
    </w:p>
    <w:p w14:paraId="77E6EFF7" w14:textId="77777777" w:rsidR="00C10C97" w:rsidRDefault="00C10C97" w:rsidP="00C10C97">
      <w:pPr>
        <w:rPr>
          <w:rFonts w:ascii="Calibri" w:hAnsi="Calibri" w:cs="Calibri"/>
          <w:szCs w:val="22"/>
        </w:rPr>
      </w:pPr>
      <w:r w:rsidRPr="00CA7669">
        <w:rPr>
          <w:rFonts w:ascii="Calibri" w:hAnsi="Calibri" w:cs="Calibri"/>
          <w:szCs w:val="22"/>
        </w:rPr>
        <w:t>The install type is</w:t>
      </w:r>
      <w:r>
        <w:rPr>
          <w:rFonts w:ascii="Calibri" w:hAnsi="Calibri" w:cs="Calibri"/>
          <w:szCs w:val="22"/>
        </w:rPr>
        <w:t>:</w:t>
      </w:r>
    </w:p>
    <w:p w14:paraId="7190D2BC" w14:textId="531FCB6C" w:rsidR="00C10C97" w:rsidRPr="00CB4445" w:rsidRDefault="00C10C97" w:rsidP="0053762C">
      <w:pPr>
        <w:spacing w:before="60"/>
        <w:ind w:left="360" w:firstLine="360"/>
        <w:rPr>
          <w:rFonts w:ascii="Calibri" w:hAnsi="Calibri" w:cs="Calibri"/>
          <w:b/>
          <w:szCs w:val="22"/>
        </w:rPr>
      </w:pPr>
      <w:r w:rsidRPr="00CB4445">
        <w:rPr>
          <w:rFonts w:ascii="Calibri" w:hAnsi="Calibri" w:cs="Calibri"/>
          <w:b/>
          <w:szCs w:val="22"/>
        </w:rPr>
        <w:t>Replace on Burnout (ROB)</w:t>
      </w:r>
      <w:r w:rsidR="005D016F">
        <w:rPr>
          <w:rFonts w:ascii="Calibri" w:hAnsi="Calibri" w:cs="Calibri"/>
          <w:b/>
          <w:szCs w:val="22"/>
        </w:rPr>
        <w:t xml:space="preserve"> and </w:t>
      </w:r>
      <w:r w:rsidR="005D016F" w:rsidRPr="00F33C0B">
        <w:rPr>
          <w:b/>
        </w:rPr>
        <w:t>New Construction</w:t>
      </w:r>
      <w:r w:rsidR="005D016F">
        <w:rPr>
          <w:b/>
        </w:rPr>
        <w:t xml:space="preserve"> (NEW/NC)</w:t>
      </w:r>
    </w:p>
    <w:p w14:paraId="5BF167D0" w14:textId="05CBC9BA" w:rsidR="00C10C97" w:rsidRDefault="00C10C97" w:rsidP="00C10C97">
      <w:pPr>
        <w:pStyle w:val="ListParagraph"/>
        <w:rPr>
          <w:rFonts w:ascii="Calibri" w:hAnsi="Calibri" w:cs="Calibri"/>
          <w:szCs w:val="22"/>
        </w:rPr>
      </w:pPr>
      <w:r w:rsidRPr="00293407">
        <w:rPr>
          <w:rFonts w:ascii="Calibri" w:hAnsi="Calibri" w:cs="Calibri"/>
          <w:szCs w:val="22"/>
        </w:rPr>
        <w:t xml:space="preserve">ROB measures replace existing equipment with more energy efficient equipment when the existing equipment has failed or passed its useful life. </w:t>
      </w:r>
      <w:r w:rsidR="00F8633C">
        <w:rPr>
          <w:rFonts w:ascii="Calibri" w:hAnsi="Calibri" w:cs="Calibri"/>
          <w:szCs w:val="22"/>
        </w:rPr>
        <w:t>ROB is for all other delivery methods.</w:t>
      </w:r>
      <w:r w:rsidR="00D72D0B">
        <w:rPr>
          <w:rFonts w:ascii="Calibri" w:hAnsi="Calibri" w:cs="Calibri"/>
          <w:szCs w:val="22"/>
        </w:rPr>
        <w:t xml:space="preserve"> Solution Codes LT-41199, LT-28754, and LT-12866 are available only via ROB </w:t>
      </w:r>
      <w:r w:rsidR="005D016F">
        <w:rPr>
          <w:rFonts w:ascii="Calibri" w:hAnsi="Calibri" w:cs="Calibri"/>
          <w:szCs w:val="22"/>
        </w:rPr>
        <w:t xml:space="preserve">and NEW </w:t>
      </w:r>
      <w:r w:rsidR="00D72D0B">
        <w:rPr>
          <w:rFonts w:ascii="Calibri" w:hAnsi="Calibri" w:cs="Calibri"/>
          <w:szCs w:val="22"/>
        </w:rPr>
        <w:t>install type.</w:t>
      </w:r>
    </w:p>
    <w:p w14:paraId="0BC80524" w14:textId="77777777" w:rsidR="00681367" w:rsidRDefault="00681367" w:rsidP="00C10C97">
      <w:pPr>
        <w:pStyle w:val="ListParagraph"/>
        <w:rPr>
          <w:rFonts w:ascii="Calibri" w:hAnsi="Calibri" w:cs="Calibri"/>
          <w:szCs w:val="22"/>
        </w:rPr>
      </w:pPr>
    </w:p>
    <w:p w14:paraId="1379F240" w14:textId="20D4BEAF" w:rsidR="00681367" w:rsidRDefault="00681367" w:rsidP="00C10C97">
      <w:pPr>
        <w:pStyle w:val="ListParagraph"/>
        <w:rPr>
          <w:rFonts w:ascii="Calibri" w:hAnsi="Calibri" w:cs="Calibri"/>
          <w:b/>
          <w:szCs w:val="22"/>
        </w:rPr>
      </w:pPr>
      <w:r>
        <w:rPr>
          <w:rFonts w:ascii="Calibri" w:hAnsi="Calibri" w:cs="Calibri"/>
          <w:b/>
          <w:szCs w:val="22"/>
        </w:rPr>
        <w:t>Retrofit (RET)</w:t>
      </w:r>
    </w:p>
    <w:p w14:paraId="484F2F41" w14:textId="162A7F80" w:rsidR="00681367" w:rsidRPr="00681367" w:rsidRDefault="00D72D0B" w:rsidP="00C10C97">
      <w:pPr>
        <w:pStyle w:val="ListParagraph"/>
        <w:rPr>
          <w:rFonts w:ascii="Calibri" w:hAnsi="Calibri" w:cs="Calibri"/>
          <w:szCs w:val="22"/>
        </w:rPr>
      </w:pPr>
      <w:r>
        <w:rPr>
          <w:rFonts w:ascii="Calibri" w:hAnsi="Calibri" w:cs="Calibri"/>
          <w:szCs w:val="22"/>
        </w:rPr>
        <w:t xml:space="preserve">Rest of the solution codes are available via RET, ROB, and NEW installation types. </w:t>
      </w:r>
      <w:r w:rsidR="00681367">
        <w:rPr>
          <w:rFonts w:ascii="Calibri" w:hAnsi="Calibri" w:cs="Calibri"/>
          <w:szCs w:val="22"/>
        </w:rPr>
        <w:t>RET measures for direct install only.</w:t>
      </w:r>
      <w:r>
        <w:rPr>
          <w:rFonts w:ascii="Calibri" w:hAnsi="Calibri" w:cs="Calibri"/>
          <w:szCs w:val="22"/>
        </w:rPr>
        <w:t xml:space="preserve"> </w:t>
      </w:r>
    </w:p>
    <w:p w14:paraId="5DB8C7D4" w14:textId="77777777" w:rsidR="00785130" w:rsidRDefault="00785130" w:rsidP="0053762C">
      <w:pPr>
        <w:pStyle w:val="Reminder"/>
        <w:spacing w:before="0" w:after="0"/>
        <w:rPr>
          <w:rFonts w:ascii="Calibri" w:hAnsi="Calibri"/>
          <w:i w:val="0"/>
          <w:iCs/>
          <w:color w:val="auto"/>
        </w:rPr>
      </w:pPr>
    </w:p>
    <w:p w14:paraId="7568B22E" w14:textId="77777777" w:rsidR="0053762C" w:rsidRDefault="0053762C" w:rsidP="0053762C">
      <w:r w:rsidRPr="009330BA">
        <w:t xml:space="preserve">The </w:t>
      </w:r>
      <w:r w:rsidRPr="009330BA">
        <w:rPr>
          <w:b/>
        </w:rPr>
        <w:t xml:space="preserve">SCE </w:t>
      </w:r>
      <w:r>
        <w:rPr>
          <w:b/>
        </w:rPr>
        <w:t>Savings By Design</w:t>
      </w:r>
      <w:r w:rsidRPr="009330BA">
        <w:rPr>
          <w:b/>
        </w:rPr>
        <w:t xml:space="preserve"> Program</w:t>
      </w:r>
      <w:r w:rsidRPr="009330BA">
        <w:t xml:space="preserve"> offers </w:t>
      </w:r>
      <w:r>
        <w:t>incentives</w:t>
      </w:r>
      <w:r w:rsidRPr="009330BA">
        <w:t xml:space="preserve"> on a wide variety of energy-saving </w:t>
      </w:r>
      <w:r>
        <w:t>design and technologies that encourages design teams and building</w:t>
      </w:r>
      <w:r w:rsidRPr="009330BA">
        <w:t xml:space="preserve"> owners/managers to </w:t>
      </w:r>
      <w:r>
        <w:t>integrate a higher level of energy efficiency for their new construction and major building renovation projects</w:t>
      </w:r>
      <w:r w:rsidRPr="009330BA">
        <w:t xml:space="preserve">.  </w:t>
      </w:r>
      <w:r>
        <w:t>As a way to streamline incentivizing energy efficient lighting technologies, SBD offers an “express” way to participate in this opportunity using deemed lighting measures.</w:t>
      </w:r>
    </w:p>
    <w:p w14:paraId="2A8C9F09" w14:textId="77777777" w:rsidR="0053762C" w:rsidRDefault="0053762C" w:rsidP="0053762C"/>
    <w:p w14:paraId="597EED24" w14:textId="588B6FB9" w:rsidR="00785130" w:rsidRDefault="00785130" w:rsidP="001C3DA9">
      <w:pPr>
        <w:rPr>
          <w:rFonts w:ascii="Calibri" w:hAnsi="Calibri"/>
          <w:iCs/>
        </w:rPr>
      </w:pPr>
      <w:r>
        <w:rPr>
          <w:rFonts w:ascii="Calibri" w:hAnsi="Calibri"/>
          <w:iCs/>
        </w:rPr>
        <w:t>The Non Residential Direct Install program quality control ensures correct documentation of existing measure, base case, and specification of the energy efficient product installed.  SCE requires a detailed Product Location Form (PLF) for each project submitted for rebate or incentive.  The PLF is a form which information for measures installed in all building types related to the Non Residential Direct Install program.  The PLF contains the following fields: Service Account Address, Measures Proposed/Installed, Product Make/Model, Install Locations (detailed to define separate spaces/floors, as well as specific locations within the space including but not limited to:  Bathrooms, Hallways, Meeting Rooms, Offices, Warehouse, etc.). </w:t>
      </w:r>
    </w:p>
    <w:p w14:paraId="7E31836F" w14:textId="77777777" w:rsidR="006A0D7B" w:rsidRDefault="006A0D7B" w:rsidP="001C3DA9">
      <w:pPr>
        <w:rPr>
          <w:rFonts w:ascii="Calibri" w:hAnsi="Calibri"/>
          <w:iCs/>
        </w:rPr>
      </w:pPr>
    </w:p>
    <w:p w14:paraId="4C8C3F98" w14:textId="3B70973D" w:rsidR="006A0D7B" w:rsidRPr="001C3DA9" w:rsidRDefault="006A0D7B" w:rsidP="001C3DA9">
      <w:r>
        <w:lastRenderedPageBreak/>
        <w:t>The California Public Utilities Commission is currently evaluating the documentation required to satisfy the Preponderance of Evidence (POE) requirement for measures with RET (to be renamed AR going forward) install type. Draft Resolution E-4818 is currently out for public review and includes specific language for deemed measures in Section 1.5.4. Upon adoption of the Resolution, SCE will modify the data collection activities described above, as needed, to be consistent with the final Resolution requirements.</w:t>
      </w:r>
    </w:p>
    <w:p w14:paraId="755C7463" w14:textId="77777777" w:rsidR="00785130" w:rsidRDefault="00785130" w:rsidP="00785130">
      <w:pPr>
        <w:pStyle w:val="Reminder"/>
        <w:ind w:left="720"/>
        <w:rPr>
          <w:rFonts w:ascii="Calibri" w:hAnsi="Calibri"/>
          <w:i w:val="0"/>
          <w:iCs/>
          <w:color w:val="auto"/>
        </w:rPr>
      </w:pPr>
    </w:p>
    <w:p w14:paraId="76E9F2E5" w14:textId="77777777" w:rsidR="00785130" w:rsidRDefault="00785130" w:rsidP="00785130">
      <w:pPr>
        <w:pStyle w:val="Reminder"/>
        <w:rPr>
          <w:rFonts w:ascii="Calibri" w:hAnsi="Calibri"/>
          <w:i w:val="0"/>
          <w:iCs/>
          <w:color w:val="auto"/>
        </w:rPr>
      </w:pPr>
      <w:r>
        <w:rPr>
          <w:rFonts w:ascii="Calibri" w:hAnsi="Calibri"/>
          <w:i w:val="0"/>
          <w:iCs/>
          <w:color w:val="auto"/>
        </w:rPr>
        <w:t xml:space="preserve">Customers are solicited to participate primarily through field visits.  Contractors conduct energy consultation and provide recommendation that can help eligible customers use less energy.  If the customer agrees, the Direct Install contractor will help them complete an authorization form and schedule an installation appointment.  </w:t>
      </w:r>
    </w:p>
    <w:p w14:paraId="081841FE" w14:textId="77777777" w:rsidR="00785130" w:rsidRDefault="00785130" w:rsidP="00785130">
      <w:pPr>
        <w:pStyle w:val="Reminder"/>
        <w:rPr>
          <w:rFonts w:ascii="Calibri" w:hAnsi="Calibri"/>
          <w:i w:val="0"/>
          <w:iCs/>
          <w:color w:val="auto"/>
        </w:rPr>
      </w:pPr>
    </w:p>
    <w:p w14:paraId="25A8580F" w14:textId="77777777" w:rsidR="00785130" w:rsidRDefault="00785130" w:rsidP="00785130">
      <w:pPr>
        <w:pStyle w:val="Reminder"/>
        <w:rPr>
          <w:rFonts w:ascii="Calibri" w:hAnsi="Calibri"/>
          <w:i w:val="0"/>
          <w:iCs/>
          <w:color w:val="auto"/>
        </w:rPr>
      </w:pPr>
      <w:r>
        <w:rPr>
          <w:rFonts w:ascii="Calibri" w:hAnsi="Calibri"/>
          <w:i w:val="0"/>
          <w:iCs/>
          <w:color w:val="auto"/>
        </w:rPr>
        <w:t>SCE can also provide photos to show measure functionality and a sample close up photos to substantiate the measure base case where applicable.  These photos would be part of the required project package.  The project package is identified with the Service Account Number and attached to SCE’s SMART database (SCE Project Tracking System) at each specific project level. The above described information is entered and tracked in the program’s tracking database.  This level of data is provided in the Participation Data that is provided to the CPUC on a quarterly basis. </w:t>
      </w:r>
    </w:p>
    <w:p w14:paraId="6DF6A7CC" w14:textId="77777777" w:rsidR="00C10C97" w:rsidRDefault="00C10C97" w:rsidP="00920905">
      <w:pPr>
        <w:pStyle w:val="NoSpacing"/>
        <w:rPr>
          <w:b/>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174F5BCA" w:rsidR="00C05AAF" w:rsidRPr="00920905" w:rsidRDefault="00A90F1A" w:rsidP="00920905">
            <w:pPr>
              <w:pStyle w:val="NoSpacing"/>
              <w:rPr>
                <w:sz w:val="18"/>
                <w:szCs w:val="18"/>
              </w:rPr>
            </w:pPr>
            <w:r>
              <w:rPr>
                <w:rFonts w:eastAsiaTheme="minorHAnsi" w:cstheme="minorBidi"/>
                <w:sz w:val="18"/>
                <w:szCs w:val="18"/>
              </w:rPr>
              <w:t>Mid-Stream Programs</w:t>
            </w:r>
          </w:p>
        </w:tc>
        <w:tc>
          <w:tcPr>
            <w:tcW w:w="3703" w:type="pct"/>
          </w:tcPr>
          <w:p w14:paraId="77E76594" w14:textId="343D38AA" w:rsidR="00C05AAF" w:rsidRPr="003D2981" w:rsidRDefault="00A84BF9" w:rsidP="00A84BF9">
            <w:pPr>
              <w:pStyle w:val="NoSpacing"/>
              <w:rPr>
                <w:i/>
                <w:sz w:val="18"/>
                <w:szCs w:val="18"/>
              </w:rPr>
            </w:pPr>
            <w:r w:rsidRPr="003D2981">
              <w:rPr>
                <w:rFonts w:cs="Helv"/>
                <w:i/>
                <w:sz w:val="18"/>
                <w:szCs w:val="18"/>
              </w:rPr>
              <w:t xml:space="preserve">See Mid-Stream Incentive in the </w:t>
            </w:r>
            <w:r w:rsidR="003D2981" w:rsidRPr="003D2981">
              <w:rPr>
                <w:i/>
                <w:sz w:val="18"/>
                <w:szCs w:val="18"/>
              </w:rPr>
              <w:t>Incentive Method Descriptions table.</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51E7B5E" w14:textId="77777777" w:rsidR="00A84BF9" w:rsidRDefault="00AA4CDC" w:rsidP="00920905">
            <w:pPr>
              <w:autoSpaceDE w:val="0"/>
              <w:autoSpaceDN w:val="0"/>
              <w:adjustRightInd w:val="0"/>
              <w:spacing w:line="240" w:lineRule="atLeast"/>
              <w:rPr>
                <w:rFonts w:cs="Helv"/>
                <w:sz w:val="18"/>
                <w:szCs w:val="18"/>
              </w:rPr>
            </w:pPr>
            <w:r w:rsidRPr="00920905">
              <w:rPr>
                <w:rFonts w:cs="Helv"/>
                <w:sz w:val="18"/>
                <w:szCs w:val="18"/>
              </w:rPr>
              <w:t>Mid-Stream Incentive</w:t>
            </w:r>
          </w:p>
          <w:p w14:paraId="37602999" w14:textId="6D6F977E" w:rsidR="001B2301" w:rsidRPr="00920905" w:rsidRDefault="00A84BF9" w:rsidP="00920905">
            <w:pPr>
              <w:autoSpaceDE w:val="0"/>
              <w:autoSpaceDN w:val="0"/>
              <w:adjustRightInd w:val="0"/>
              <w:spacing w:line="240" w:lineRule="atLeast"/>
              <w:rPr>
                <w:sz w:val="18"/>
                <w:szCs w:val="18"/>
              </w:rPr>
            </w:pPr>
            <w:r w:rsidRPr="00920905">
              <w:rPr>
                <w:rFonts w:cs="Helv"/>
                <w:sz w:val="18"/>
                <w:szCs w:val="18"/>
              </w:rPr>
              <w:t xml:space="preserve">Mid-Stream </w:t>
            </w:r>
            <w:r>
              <w:rPr>
                <w:rFonts w:cs="Helv"/>
                <w:sz w:val="18"/>
                <w:szCs w:val="18"/>
              </w:rPr>
              <w:t>Buy Down</w:t>
            </w:r>
          </w:p>
        </w:tc>
        <w:tc>
          <w:tcPr>
            <w:tcW w:w="3703" w:type="pct"/>
          </w:tcPr>
          <w:p w14:paraId="7F28A081" w14:textId="15FE2ED3" w:rsidR="001B2301" w:rsidRPr="00920905" w:rsidRDefault="00A84BF9" w:rsidP="00EE29DF">
            <w:pPr>
              <w:autoSpaceDE w:val="0"/>
              <w:autoSpaceDN w:val="0"/>
              <w:adjustRightInd w:val="0"/>
              <w:spacing w:line="240" w:lineRule="atLeast"/>
              <w:rPr>
                <w:sz w:val="18"/>
                <w:szCs w:val="18"/>
              </w:rPr>
            </w:pPr>
            <w:r w:rsidRPr="00920905">
              <w:rPr>
                <w:rFonts w:cs="Helv"/>
                <w:sz w:val="18"/>
                <w:szCs w:val="18"/>
              </w:rPr>
              <w:t>The program gives a financial incentive to a midstream market actor</w:t>
            </w:r>
            <w:r w:rsidR="0039615F">
              <w:rPr>
                <w:rFonts w:cs="Helv"/>
                <w:sz w:val="18"/>
                <w:szCs w:val="18"/>
              </w:rPr>
              <w:t xml:space="preserve"> (</w:t>
            </w:r>
            <w:r>
              <w:rPr>
                <w:rFonts w:cs="Helv"/>
                <w:sz w:val="18"/>
                <w:szCs w:val="18"/>
              </w:rPr>
              <w:t>distributor</w:t>
            </w:r>
            <w:r w:rsidR="003D2981">
              <w:rPr>
                <w:rFonts w:cs="Helv"/>
                <w:sz w:val="18"/>
                <w:szCs w:val="18"/>
              </w:rPr>
              <w:t>,</w:t>
            </w:r>
            <w:r w:rsidRPr="00920905">
              <w:rPr>
                <w:rFonts w:cs="Helv"/>
                <w:sz w:val="18"/>
                <w:szCs w:val="18"/>
              </w:rPr>
              <w:t xml:space="preserve"> </w:t>
            </w:r>
            <w:r>
              <w:rPr>
                <w:rFonts w:cs="Helv"/>
                <w:sz w:val="18"/>
                <w:szCs w:val="18"/>
              </w:rPr>
              <w:t>vendor</w:t>
            </w:r>
            <w:r w:rsidR="003D2981">
              <w:rPr>
                <w:rFonts w:cs="Helv"/>
                <w:sz w:val="18"/>
                <w:szCs w:val="18"/>
              </w:rPr>
              <w:t>, or retailer</w:t>
            </w:r>
            <w:r w:rsidR="0039615F">
              <w:rPr>
                <w:rFonts w:cs="Helv"/>
                <w:sz w:val="18"/>
                <w:szCs w:val="18"/>
              </w:rPr>
              <w:t>)</w:t>
            </w:r>
            <w:r w:rsidRPr="00920905">
              <w:rPr>
                <w:rFonts w:cs="Helv"/>
                <w:sz w:val="18"/>
                <w:szCs w:val="18"/>
              </w:rPr>
              <w:t xml:space="preserve"> to encourage the p</w:t>
            </w:r>
            <w:r>
              <w:rPr>
                <w:rFonts w:cs="Helv"/>
                <w:sz w:val="18"/>
                <w:szCs w:val="18"/>
              </w:rPr>
              <w:t>romotion of efficient measures.</w:t>
            </w:r>
            <w:r w:rsidR="00AA4CDC" w:rsidRPr="00920905">
              <w:rPr>
                <w:rFonts w:cs="Helv"/>
                <w:sz w:val="18"/>
                <w:szCs w:val="18"/>
              </w:rPr>
              <w:t xml:space="preserve"> </w:t>
            </w:r>
            <w:r w:rsidR="003D2981">
              <w:rPr>
                <w:rFonts w:cs="Helv"/>
                <w:sz w:val="18"/>
                <w:szCs w:val="18"/>
              </w:rPr>
              <w:t>B</w:t>
            </w:r>
            <w:r w:rsidRPr="00920905">
              <w:rPr>
                <w:rFonts w:cs="Helv"/>
                <w:sz w:val="18"/>
                <w:szCs w:val="18"/>
              </w:rPr>
              <w:t>uy</w:t>
            </w:r>
            <w:r>
              <w:rPr>
                <w:rFonts w:cs="Helv"/>
                <w:sz w:val="18"/>
                <w:szCs w:val="18"/>
              </w:rPr>
              <w:t xml:space="preserve"> </w:t>
            </w:r>
            <w:r w:rsidR="003D2981">
              <w:rPr>
                <w:rFonts w:cs="Helv"/>
                <w:sz w:val="18"/>
                <w:szCs w:val="18"/>
              </w:rPr>
              <w:t>D</w:t>
            </w:r>
            <w:r w:rsidRPr="00920905">
              <w:rPr>
                <w:rFonts w:cs="Helv"/>
                <w:sz w:val="18"/>
                <w:szCs w:val="18"/>
              </w:rPr>
              <w:t>own</w:t>
            </w:r>
            <w:r w:rsidR="003D2981">
              <w:rPr>
                <w:rFonts w:cs="Helv"/>
                <w:sz w:val="18"/>
                <w:szCs w:val="18"/>
              </w:rPr>
              <w:t xml:space="preserve"> means that the incentive is required to be passed down to the</w:t>
            </w:r>
            <w:r w:rsidRPr="00920905">
              <w:rPr>
                <w:rFonts w:cs="Helv"/>
                <w:sz w:val="18"/>
                <w:szCs w:val="18"/>
              </w:rPr>
              <w:t xml:space="preserve"> end-use customer.</w:t>
            </w:r>
          </w:p>
        </w:tc>
      </w:tr>
    </w:tbl>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lastRenderedPageBreak/>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9" w:name="_Toc385592671"/>
      <w:bookmarkStart w:id="10" w:name="_Toc214003087"/>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681367" w:rsidRPr="00500C4E" w14:paraId="13CB6596" w14:textId="77777777" w:rsidTr="00920905">
        <w:trPr>
          <w:trHeight w:val="20"/>
        </w:trPr>
        <w:tc>
          <w:tcPr>
            <w:tcW w:w="1548" w:type="pct"/>
          </w:tcPr>
          <w:p w14:paraId="6670E11A" w14:textId="77777777" w:rsidR="00681367" w:rsidRPr="00920905" w:rsidRDefault="00681367" w:rsidP="00681367">
            <w:pPr>
              <w:rPr>
                <w:rFonts w:cs="Arial"/>
                <w:szCs w:val="20"/>
              </w:rPr>
            </w:pPr>
            <w:r w:rsidRPr="00920905">
              <w:rPr>
                <w:rFonts w:cs="Arial"/>
                <w:szCs w:val="20"/>
              </w:rPr>
              <w:t>Modified DEER methodology</w:t>
            </w:r>
          </w:p>
        </w:tc>
        <w:tc>
          <w:tcPr>
            <w:tcW w:w="3452" w:type="pct"/>
          </w:tcPr>
          <w:p w14:paraId="137893D1" w14:textId="2D712FC5" w:rsidR="00681367" w:rsidRPr="00920905" w:rsidRDefault="00681367" w:rsidP="00681367">
            <w:pPr>
              <w:rPr>
                <w:rFonts w:cs="Arial"/>
                <w:b/>
                <w:color w:val="FF0000"/>
                <w:szCs w:val="20"/>
              </w:rPr>
            </w:pPr>
            <w:r w:rsidRPr="0013332F">
              <w:rPr>
                <w:rFonts w:cs="Arial"/>
                <w:szCs w:val="20"/>
              </w:rPr>
              <w:t>No</w:t>
            </w:r>
          </w:p>
        </w:tc>
      </w:tr>
      <w:tr w:rsidR="00681367" w:rsidRPr="00500C4E" w14:paraId="269B4F50" w14:textId="77777777" w:rsidTr="00920905">
        <w:trPr>
          <w:trHeight w:val="20"/>
        </w:trPr>
        <w:tc>
          <w:tcPr>
            <w:tcW w:w="1548" w:type="pct"/>
          </w:tcPr>
          <w:p w14:paraId="7D04E8DB" w14:textId="77777777" w:rsidR="00681367" w:rsidRPr="00920905" w:rsidRDefault="00681367" w:rsidP="00681367">
            <w:pPr>
              <w:rPr>
                <w:rFonts w:cs="Arial"/>
                <w:szCs w:val="20"/>
              </w:rPr>
            </w:pPr>
            <w:r w:rsidRPr="00920905">
              <w:rPr>
                <w:rFonts w:cs="Arial"/>
                <w:szCs w:val="20"/>
              </w:rPr>
              <w:t>Scaled DEER measure</w:t>
            </w:r>
          </w:p>
        </w:tc>
        <w:tc>
          <w:tcPr>
            <w:tcW w:w="3452" w:type="pct"/>
          </w:tcPr>
          <w:p w14:paraId="406610B2" w14:textId="0E1E2025" w:rsidR="00681367" w:rsidRPr="00920905" w:rsidRDefault="00681367" w:rsidP="00681367">
            <w:pPr>
              <w:rPr>
                <w:rFonts w:cs="Arial"/>
                <w:color w:val="FF0000"/>
                <w:szCs w:val="20"/>
              </w:rPr>
            </w:pPr>
            <w:r w:rsidRPr="0013332F">
              <w:rPr>
                <w:rFonts w:cs="Arial"/>
                <w:szCs w:val="20"/>
              </w:rPr>
              <w:t>No</w:t>
            </w:r>
          </w:p>
        </w:tc>
      </w:tr>
      <w:tr w:rsidR="00681367" w:rsidRPr="00500C4E" w14:paraId="0E7FA0A8" w14:textId="77777777" w:rsidTr="00920905">
        <w:trPr>
          <w:trHeight w:val="20"/>
        </w:trPr>
        <w:tc>
          <w:tcPr>
            <w:tcW w:w="1548" w:type="pct"/>
          </w:tcPr>
          <w:p w14:paraId="2F3E70F4" w14:textId="2ACC010D" w:rsidR="00681367" w:rsidRPr="00920905" w:rsidRDefault="00681367" w:rsidP="00681367">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097FFFA9" w14:textId="57F59E6E" w:rsidR="00681367" w:rsidRPr="00920905" w:rsidRDefault="00681367" w:rsidP="00681367">
            <w:pPr>
              <w:rPr>
                <w:rFonts w:cs="Arial"/>
                <w:color w:val="FF0000"/>
                <w:szCs w:val="20"/>
              </w:rPr>
            </w:pPr>
            <w:r w:rsidRPr="0013332F">
              <w:rPr>
                <w:rFonts w:cs="Arial"/>
                <w:szCs w:val="20"/>
              </w:rPr>
              <w:t>Yes</w:t>
            </w:r>
          </w:p>
        </w:tc>
      </w:tr>
      <w:tr w:rsidR="00681367" w:rsidRPr="00500C4E" w14:paraId="3C843C04" w14:textId="77777777" w:rsidTr="00920905">
        <w:trPr>
          <w:trHeight w:val="20"/>
        </w:trPr>
        <w:tc>
          <w:tcPr>
            <w:tcW w:w="1548" w:type="pct"/>
          </w:tcPr>
          <w:p w14:paraId="51431197" w14:textId="2E50B486" w:rsidR="00681367" w:rsidRPr="00920905" w:rsidRDefault="00681367" w:rsidP="00681367">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1506AF6A" w14:textId="1B5FE610" w:rsidR="00681367" w:rsidRPr="00920905" w:rsidRDefault="00681367" w:rsidP="00681367">
            <w:pPr>
              <w:rPr>
                <w:rFonts w:cs="Arial"/>
                <w:color w:val="FF0000"/>
                <w:szCs w:val="20"/>
              </w:rPr>
            </w:pPr>
            <w:r w:rsidRPr="0013332F">
              <w:rPr>
                <w:rFonts w:cs="Arial"/>
                <w:szCs w:val="20"/>
              </w:rPr>
              <w:t>Yes</w:t>
            </w:r>
          </w:p>
        </w:tc>
      </w:tr>
      <w:tr w:rsidR="00681367" w:rsidRPr="00500C4E" w14:paraId="22327C07" w14:textId="77777777" w:rsidTr="00920905">
        <w:trPr>
          <w:trHeight w:val="20"/>
        </w:trPr>
        <w:tc>
          <w:tcPr>
            <w:tcW w:w="1548" w:type="pct"/>
          </w:tcPr>
          <w:p w14:paraId="37FF3C5F" w14:textId="286C0736" w:rsidR="00681367" w:rsidRPr="00920905" w:rsidRDefault="00681367" w:rsidP="00681367">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55BBD6F6" w14:textId="1596CEB3" w:rsidR="00681367" w:rsidRPr="00920905" w:rsidRDefault="00681367" w:rsidP="00681367">
            <w:pPr>
              <w:rPr>
                <w:rFonts w:cs="Arial"/>
                <w:color w:val="FF0000"/>
                <w:szCs w:val="20"/>
              </w:rPr>
            </w:pPr>
            <w:r w:rsidRPr="0013332F">
              <w:rPr>
                <w:rFonts w:cs="Arial"/>
                <w:szCs w:val="20"/>
              </w:rPr>
              <w:t>Yes</w:t>
            </w:r>
          </w:p>
        </w:tc>
      </w:tr>
      <w:tr w:rsidR="00681367" w:rsidRPr="00500C4E" w14:paraId="2F8A7017" w14:textId="77777777" w:rsidTr="00920905">
        <w:trPr>
          <w:trHeight w:val="20"/>
        </w:trPr>
        <w:tc>
          <w:tcPr>
            <w:tcW w:w="1548" w:type="pct"/>
          </w:tcPr>
          <w:p w14:paraId="05CCD829" w14:textId="094D5B4C" w:rsidR="00681367" w:rsidRPr="00920905" w:rsidRDefault="00681367" w:rsidP="00681367">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1E8D588A" w14:textId="540299D5" w:rsidR="00681367" w:rsidRPr="00920905" w:rsidRDefault="00681367" w:rsidP="00681367">
            <w:pPr>
              <w:rPr>
                <w:rFonts w:cs="Arial"/>
                <w:color w:val="FF0000"/>
                <w:szCs w:val="20"/>
              </w:rPr>
            </w:pPr>
            <w:r w:rsidRPr="0013332F">
              <w:rPr>
                <w:rFonts w:cs="Arial"/>
                <w:szCs w:val="20"/>
              </w:rPr>
              <w:t>Yes</w:t>
            </w:r>
          </w:p>
        </w:tc>
      </w:tr>
      <w:tr w:rsidR="00681367" w:rsidRPr="00500C4E" w14:paraId="6B821D71" w14:textId="77777777" w:rsidTr="00920905">
        <w:trPr>
          <w:trHeight w:val="20"/>
        </w:trPr>
        <w:tc>
          <w:tcPr>
            <w:tcW w:w="1548" w:type="pct"/>
          </w:tcPr>
          <w:p w14:paraId="5B790708" w14:textId="57F1AB76" w:rsidR="00681367" w:rsidRPr="00920905" w:rsidRDefault="00681367" w:rsidP="00681367">
            <w:pPr>
              <w:rPr>
                <w:rFonts w:cs="Arial"/>
                <w:szCs w:val="20"/>
              </w:rPr>
            </w:pPr>
            <w:r w:rsidRPr="00920905">
              <w:rPr>
                <w:rFonts w:cs="Arial"/>
                <w:szCs w:val="20"/>
              </w:rPr>
              <w:t xml:space="preserve">DEER </w:t>
            </w:r>
            <w:r w:rsidRPr="00500C4E">
              <w:rPr>
                <w:rFonts w:cs="Arial"/>
                <w:szCs w:val="20"/>
              </w:rPr>
              <w:t>eQUEST P</w:t>
            </w:r>
            <w:r w:rsidRPr="00920905">
              <w:rPr>
                <w:rFonts w:cs="Arial"/>
                <w:szCs w:val="20"/>
              </w:rPr>
              <w:t>rototype</w:t>
            </w:r>
            <w:r w:rsidRPr="00500C4E">
              <w:rPr>
                <w:rFonts w:cs="Arial"/>
                <w:szCs w:val="20"/>
              </w:rPr>
              <w:t>s</w:t>
            </w:r>
          </w:p>
        </w:tc>
        <w:tc>
          <w:tcPr>
            <w:tcW w:w="3452" w:type="pct"/>
          </w:tcPr>
          <w:p w14:paraId="4D0FA036" w14:textId="2A4AA8DA" w:rsidR="00681367" w:rsidRPr="00920905" w:rsidDel="00505CEC" w:rsidRDefault="00681367" w:rsidP="00681367">
            <w:pPr>
              <w:rPr>
                <w:rFonts w:cs="Arial"/>
                <w:color w:val="FF0000"/>
                <w:szCs w:val="20"/>
              </w:rPr>
            </w:pPr>
            <w:r w:rsidRPr="0013332F">
              <w:rPr>
                <w:rFonts w:cs="Arial"/>
                <w:szCs w:val="20"/>
              </w:rPr>
              <w:t>No</w:t>
            </w:r>
          </w:p>
        </w:tc>
      </w:tr>
      <w:tr w:rsidR="00681367" w:rsidRPr="00500C4E" w14:paraId="3F06DC0D" w14:textId="77777777" w:rsidTr="00920905">
        <w:trPr>
          <w:trHeight w:val="20"/>
        </w:trPr>
        <w:tc>
          <w:tcPr>
            <w:tcW w:w="1548" w:type="pct"/>
          </w:tcPr>
          <w:p w14:paraId="49FC863F" w14:textId="77777777" w:rsidR="00681367" w:rsidRPr="00500C4E" w:rsidRDefault="00681367" w:rsidP="00681367">
            <w:pPr>
              <w:rPr>
                <w:rFonts w:cs="Arial"/>
                <w:szCs w:val="20"/>
              </w:rPr>
            </w:pPr>
            <w:r w:rsidRPr="00500C4E">
              <w:rPr>
                <w:rFonts w:cs="Arial"/>
                <w:szCs w:val="20"/>
              </w:rPr>
              <w:t>DEER Version</w:t>
            </w:r>
          </w:p>
        </w:tc>
        <w:tc>
          <w:tcPr>
            <w:tcW w:w="3452" w:type="pct"/>
          </w:tcPr>
          <w:p w14:paraId="77B6E89E" w14:textId="61CE5690" w:rsidR="00681367" w:rsidRPr="00500C4E" w:rsidRDefault="00681367" w:rsidP="00681367">
            <w:pPr>
              <w:rPr>
                <w:rFonts w:cs="Arial"/>
                <w:color w:val="FF0000"/>
                <w:szCs w:val="20"/>
              </w:rPr>
            </w:pPr>
            <w:r w:rsidRPr="0013332F">
              <w:rPr>
                <w:rFonts w:cstheme="minorHAnsi"/>
                <w:szCs w:val="20"/>
              </w:rPr>
              <w:t>DEER 201</w:t>
            </w:r>
            <w:r>
              <w:rPr>
                <w:rFonts w:cstheme="minorHAnsi"/>
                <w:szCs w:val="20"/>
              </w:rPr>
              <w:t>6</w:t>
            </w:r>
            <w:r w:rsidRPr="0013332F">
              <w:rPr>
                <w:rFonts w:cstheme="minorHAnsi"/>
                <w:szCs w:val="20"/>
              </w:rPr>
              <w:t>, READI v2.3.0</w:t>
            </w:r>
          </w:p>
        </w:tc>
      </w:tr>
      <w:tr w:rsidR="00681367" w:rsidRPr="00500C4E" w14:paraId="62E4D88D" w14:textId="77777777" w:rsidTr="00920905">
        <w:trPr>
          <w:trHeight w:val="20"/>
        </w:trPr>
        <w:tc>
          <w:tcPr>
            <w:tcW w:w="1548" w:type="pct"/>
          </w:tcPr>
          <w:p w14:paraId="6CFAE08B" w14:textId="77777777" w:rsidR="00681367" w:rsidRPr="00920905" w:rsidRDefault="00681367" w:rsidP="00681367">
            <w:pPr>
              <w:rPr>
                <w:rFonts w:cs="Arial"/>
                <w:szCs w:val="20"/>
              </w:rPr>
            </w:pPr>
            <w:r w:rsidRPr="00920905">
              <w:rPr>
                <w:rFonts w:cs="Arial"/>
                <w:szCs w:val="20"/>
              </w:rPr>
              <w:t>Reason for Deviation from DEER</w:t>
            </w:r>
          </w:p>
        </w:tc>
        <w:tc>
          <w:tcPr>
            <w:tcW w:w="3452" w:type="pct"/>
          </w:tcPr>
          <w:p w14:paraId="6F852B8E" w14:textId="5EFA93BC" w:rsidR="00681367" w:rsidRPr="00920905" w:rsidRDefault="00681367" w:rsidP="00681367">
            <w:pPr>
              <w:rPr>
                <w:rFonts w:cs="Arial"/>
                <w:color w:val="FF0000"/>
                <w:szCs w:val="20"/>
              </w:rPr>
            </w:pPr>
            <w:r w:rsidRPr="0013332F">
              <w:rPr>
                <w:rFonts w:cs="Arial"/>
                <w:szCs w:val="20"/>
              </w:rPr>
              <w:t>N/A</w:t>
            </w:r>
          </w:p>
        </w:tc>
      </w:tr>
      <w:tr w:rsidR="00681367" w:rsidRPr="00500C4E" w14:paraId="5272C28A" w14:textId="77777777" w:rsidTr="00920905">
        <w:trPr>
          <w:trHeight w:val="20"/>
        </w:trPr>
        <w:tc>
          <w:tcPr>
            <w:tcW w:w="1548" w:type="pct"/>
          </w:tcPr>
          <w:p w14:paraId="3C3C8618" w14:textId="27273202" w:rsidR="00681367" w:rsidRPr="00920905" w:rsidRDefault="00681367" w:rsidP="00681367">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tcPr>
          <w:p w14:paraId="78F10C53" w14:textId="4DD6ECC0" w:rsidR="00681367" w:rsidRPr="00920905" w:rsidRDefault="00681367" w:rsidP="00681367">
            <w:pPr>
              <w:rPr>
                <w:rFonts w:cs="Arial"/>
                <w:color w:val="FF0000"/>
                <w:szCs w:val="20"/>
              </w:rPr>
            </w:pPr>
            <w:r w:rsidRPr="0013332F">
              <w:rPr>
                <w:rFonts w:cs="Arial"/>
                <w:szCs w:val="20"/>
              </w:rPr>
              <w:t>Yes</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6D9F56E2" w14:textId="77777777" w:rsidR="001C3DA9" w:rsidRPr="00920905" w:rsidRDefault="001C3DA9" w:rsidP="00920905">
      <w:pPr>
        <w:pStyle w:val="NoSpacing"/>
      </w:pPr>
    </w:p>
    <w:tbl>
      <w:tblPr>
        <w:tblStyle w:val="TableGrid1"/>
        <w:tblW w:w="5000" w:type="pct"/>
        <w:tblLayout w:type="fixed"/>
        <w:tblLook w:val="01E0" w:firstRow="1" w:lastRow="1" w:firstColumn="1" w:lastColumn="1" w:noHBand="0" w:noVBand="0"/>
      </w:tblPr>
      <w:tblGrid>
        <w:gridCol w:w="1289"/>
        <w:gridCol w:w="3683"/>
        <w:gridCol w:w="921"/>
        <w:gridCol w:w="1107"/>
        <w:gridCol w:w="1752"/>
        <w:gridCol w:w="824"/>
      </w:tblGrid>
      <w:tr w:rsidR="005F69D5" w:rsidRPr="00500C4E" w14:paraId="7ADA6C1A" w14:textId="77777777" w:rsidTr="001C3DA9">
        <w:tc>
          <w:tcPr>
            <w:tcW w:w="673" w:type="pct"/>
            <w:shd w:val="clear" w:color="auto" w:fill="D9D9D9" w:themeFill="background1" w:themeFillShade="D9"/>
          </w:tcPr>
          <w:p w14:paraId="036218EF" w14:textId="6670DE77" w:rsidR="000968C6" w:rsidRPr="00920905" w:rsidRDefault="005729C8" w:rsidP="001C3DA9">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923" w:type="pct"/>
            <w:shd w:val="clear" w:color="auto" w:fill="D9D9D9" w:themeFill="background1" w:themeFillShade="D9"/>
          </w:tcPr>
          <w:p w14:paraId="65632B37" w14:textId="13135991" w:rsidR="000968C6" w:rsidRPr="00920905" w:rsidRDefault="005F69D5" w:rsidP="001C3DA9">
            <w:pPr>
              <w:rPr>
                <w:rFonts w:cstheme="minorHAnsi"/>
                <w:b/>
                <w:szCs w:val="20"/>
              </w:rPr>
            </w:pPr>
            <w:r>
              <w:rPr>
                <w:rFonts w:cstheme="minorHAnsi"/>
                <w:b/>
                <w:szCs w:val="20"/>
              </w:rPr>
              <w:t>Description</w:t>
            </w:r>
          </w:p>
        </w:tc>
        <w:tc>
          <w:tcPr>
            <w:tcW w:w="481" w:type="pct"/>
            <w:shd w:val="clear" w:color="auto" w:fill="D9D9D9" w:themeFill="background1" w:themeFillShade="D9"/>
          </w:tcPr>
          <w:p w14:paraId="287DD0A1" w14:textId="77777777" w:rsidR="000968C6" w:rsidRPr="00920905" w:rsidRDefault="000968C6" w:rsidP="001C3DA9">
            <w:pPr>
              <w:rPr>
                <w:rFonts w:cstheme="minorHAnsi"/>
                <w:b/>
                <w:szCs w:val="20"/>
              </w:rPr>
            </w:pPr>
            <w:r w:rsidRPr="00920905">
              <w:rPr>
                <w:rFonts w:cstheme="minorHAnsi"/>
                <w:b/>
                <w:szCs w:val="20"/>
              </w:rPr>
              <w:t>Sector</w:t>
            </w:r>
          </w:p>
        </w:tc>
        <w:tc>
          <w:tcPr>
            <w:tcW w:w="578" w:type="pct"/>
            <w:shd w:val="clear" w:color="auto" w:fill="D9D9D9" w:themeFill="background1" w:themeFillShade="D9"/>
          </w:tcPr>
          <w:p w14:paraId="7DB97D70" w14:textId="77777777" w:rsidR="000968C6" w:rsidRPr="00920905" w:rsidRDefault="00FB2590" w:rsidP="001C3DA9">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rsidP="001C3DA9">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1C3DA9">
            <w:pPr>
              <w:rPr>
                <w:rFonts w:cstheme="minorHAnsi"/>
                <w:b/>
                <w:szCs w:val="20"/>
              </w:rPr>
            </w:pPr>
            <w:r w:rsidRPr="00920905">
              <w:rPr>
                <w:rFonts w:cstheme="minorHAnsi"/>
                <w:b/>
                <w:szCs w:val="20"/>
              </w:rPr>
              <w:t>NTG</w:t>
            </w:r>
            <w:r w:rsidR="00E06A37">
              <w:rPr>
                <w:rFonts w:cstheme="minorHAnsi"/>
                <w:b/>
                <w:szCs w:val="20"/>
              </w:rPr>
              <w:t>R</w:t>
            </w:r>
          </w:p>
        </w:tc>
      </w:tr>
      <w:tr w:rsidR="00681367" w:rsidRPr="00500C4E" w14:paraId="5C8B04BC" w14:textId="77777777" w:rsidTr="001C3DA9">
        <w:tc>
          <w:tcPr>
            <w:tcW w:w="673" w:type="pct"/>
          </w:tcPr>
          <w:p w14:paraId="28722997" w14:textId="6504EC32" w:rsidR="00681367" w:rsidRPr="00500C4E" w:rsidRDefault="00EA3A62" w:rsidP="001C3DA9">
            <w:pPr>
              <w:rPr>
                <w:color w:val="FF0000"/>
                <w:szCs w:val="20"/>
              </w:rPr>
            </w:pPr>
            <w:r w:rsidRPr="00EA3A62">
              <w:rPr>
                <w:rFonts w:cstheme="minorHAnsi"/>
                <w:szCs w:val="20"/>
              </w:rPr>
              <w:t>NonRes-sAll-mLFHB-Deemed</w:t>
            </w:r>
          </w:p>
        </w:tc>
        <w:tc>
          <w:tcPr>
            <w:tcW w:w="1923" w:type="pct"/>
          </w:tcPr>
          <w:p w14:paraId="3EB26158" w14:textId="1036C338" w:rsidR="00681367" w:rsidRPr="00500C4E" w:rsidRDefault="00EA3A62" w:rsidP="001C3DA9">
            <w:pPr>
              <w:rPr>
                <w:color w:val="FF0000"/>
                <w:szCs w:val="20"/>
              </w:rPr>
            </w:pPr>
            <w:r w:rsidRPr="00EA3A62">
              <w:rPr>
                <w:rFonts w:cstheme="minorHAnsi"/>
                <w:szCs w:val="20"/>
              </w:rPr>
              <w:t>Nonresidential Linear Fluorescent: high bay applications; deemed; all delivery mechanisms</w:t>
            </w:r>
          </w:p>
        </w:tc>
        <w:tc>
          <w:tcPr>
            <w:tcW w:w="481" w:type="pct"/>
          </w:tcPr>
          <w:p w14:paraId="5C4D3E7D" w14:textId="4C43C337" w:rsidR="00681367" w:rsidRPr="00500C4E" w:rsidRDefault="00681367" w:rsidP="001C3DA9">
            <w:pPr>
              <w:rPr>
                <w:color w:val="FF0000"/>
                <w:szCs w:val="20"/>
              </w:rPr>
            </w:pPr>
            <w:r>
              <w:rPr>
                <w:rFonts w:cstheme="minorHAnsi"/>
                <w:szCs w:val="20"/>
              </w:rPr>
              <w:t>NonRes</w:t>
            </w:r>
          </w:p>
        </w:tc>
        <w:tc>
          <w:tcPr>
            <w:tcW w:w="578" w:type="pct"/>
          </w:tcPr>
          <w:p w14:paraId="1A63333B" w14:textId="78C99BB1" w:rsidR="00681367" w:rsidRPr="00500C4E" w:rsidRDefault="00681367" w:rsidP="001C3DA9">
            <w:pPr>
              <w:rPr>
                <w:color w:val="FF0000"/>
                <w:szCs w:val="20"/>
              </w:rPr>
            </w:pPr>
            <w:r w:rsidRPr="001F3F31">
              <w:rPr>
                <w:rFonts w:cstheme="minorHAnsi"/>
                <w:szCs w:val="20"/>
              </w:rPr>
              <w:t>Any</w:t>
            </w:r>
          </w:p>
        </w:tc>
        <w:tc>
          <w:tcPr>
            <w:tcW w:w="915" w:type="pct"/>
          </w:tcPr>
          <w:p w14:paraId="6AB10E89" w14:textId="758D2532" w:rsidR="00681367" w:rsidRPr="00500C4E" w:rsidRDefault="00EA3A62" w:rsidP="001C3DA9">
            <w:pPr>
              <w:rPr>
                <w:color w:val="FF0000"/>
                <w:szCs w:val="20"/>
              </w:rPr>
            </w:pPr>
            <w:r>
              <w:rPr>
                <w:rFonts w:cstheme="minorHAnsi"/>
                <w:szCs w:val="20"/>
              </w:rPr>
              <w:t>Deemed</w:t>
            </w:r>
          </w:p>
        </w:tc>
        <w:tc>
          <w:tcPr>
            <w:tcW w:w="430" w:type="pct"/>
          </w:tcPr>
          <w:p w14:paraId="25878F23" w14:textId="3AB12EE4" w:rsidR="00681367" w:rsidRPr="00500C4E" w:rsidRDefault="00EA3A62" w:rsidP="001C3DA9">
            <w:pPr>
              <w:rPr>
                <w:color w:val="FF0000"/>
                <w:szCs w:val="20"/>
              </w:rPr>
            </w:pPr>
            <w:r>
              <w:rPr>
                <w:rFonts w:cstheme="minorHAnsi"/>
                <w:szCs w:val="20"/>
              </w:rPr>
              <w:t>0.65</w:t>
            </w:r>
          </w:p>
        </w:tc>
      </w:tr>
      <w:tr w:rsidR="00681367" w:rsidRPr="00500C4E" w14:paraId="4A5E1950" w14:textId="77777777" w:rsidTr="001C3DA9">
        <w:tc>
          <w:tcPr>
            <w:tcW w:w="673" w:type="pct"/>
          </w:tcPr>
          <w:p w14:paraId="3CF75D09" w14:textId="77777777" w:rsidR="00681367" w:rsidRPr="00C653CD" w:rsidRDefault="00681367" w:rsidP="001C3DA9">
            <w:pPr>
              <w:rPr>
                <w:rFonts w:cstheme="minorHAnsi"/>
                <w:szCs w:val="20"/>
              </w:rPr>
            </w:pPr>
            <w:r w:rsidRPr="00C653CD">
              <w:rPr>
                <w:rFonts w:cstheme="minorHAnsi"/>
                <w:szCs w:val="20"/>
              </w:rPr>
              <w:t>NonRes-sAll-mLFHBT5-Deemed</w:t>
            </w:r>
          </w:p>
          <w:p w14:paraId="00952921" w14:textId="4A33B6C4" w:rsidR="00681367" w:rsidRPr="00500C4E" w:rsidRDefault="00681367" w:rsidP="001C3DA9">
            <w:pPr>
              <w:rPr>
                <w:color w:val="FF0000"/>
                <w:szCs w:val="20"/>
              </w:rPr>
            </w:pPr>
          </w:p>
        </w:tc>
        <w:tc>
          <w:tcPr>
            <w:tcW w:w="1923" w:type="pct"/>
          </w:tcPr>
          <w:p w14:paraId="755799BF" w14:textId="48718BD5" w:rsidR="00681367" w:rsidRPr="00500C4E" w:rsidRDefault="00681367" w:rsidP="001C3DA9">
            <w:pPr>
              <w:rPr>
                <w:color w:val="FF0000"/>
                <w:szCs w:val="20"/>
              </w:rPr>
            </w:pPr>
            <w:r w:rsidRPr="00886C47">
              <w:rPr>
                <w:rFonts w:cstheme="minorHAnsi"/>
                <w:szCs w:val="20"/>
              </w:rPr>
              <w:t>Nonresidential Linear Fluorescent: T5 lamps; high bay applications; deemed; all delivery mechanisms</w:t>
            </w:r>
          </w:p>
        </w:tc>
        <w:tc>
          <w:tcPr>
            <w:tcW w:w="481" w:type="pct"/>
          </w:tcPr>
          <w:p w14:paraId="3CB22E86" w14:textId="0A787D37" w:rsidR="00681367" w:rsidRPr="00500C4E" w:rsidRDefault="00681367" w:rsidP="001C3DA9">
            <w:pPr>
              <w:rPr>
                <w:color w:val="FF0000"/>
                <w:szCs w:val="20"/>
              </w:rPr>
            </w:pPr>
            <w:r>
              <w:rPr>
                <w:rFonts w:cstheme="minorHAnsi"/>
                <w:szCs w:val="20"/>
              </w:rPr>
              <w:t>NonRes</w:t>
            </w:r>
          </w:p>
        </w:tc>
        <w:tc>
          <w:tcPr>
            <w:tcW w:w="578" w:type="pct"/>
          </w:tcPr>
          <w:p w14:paraId="1AAF8C8B" w14:textId="7F6B54C4" w:rsidR="00681367" w:rsidRPr="00500C4E" w:rsidRDefault="00681367" w:rsidP="001C3DA9">
            <w:pPr>
              <w:rPr>
                <w:color w:val="FF0000"/>
                <w:szCs w:val="20"/>
              </w:rPr>
            </w:pPr>
            <w:r w:rsidRPr="001F3F31">
              <w:rPr>
                <w:rFonts w:cstheme="minorHAnsi"/>
                <w:szCs w:val="20"/>
              </w:rPr>
              <w:t>Any</w:t>
            </w:r>
          </w:p>
        </w:tc>
        <w:tc>
          <w:tcPr>
            <w:tcW w:w="915" w:type="pct"/>
          </w:tcPr>
          <w:p w14:paraId="5BAF7D5F" w14:textId="35461CBD" w:rsidR="00681367" w:rsidRPr="00500C4E" w:rsidRDefault="00681367" w:rsidP="001C3DA9">
            <w:pPr>
              <w:rPr>
                <w:color w:val="FF0000"/>
                <w:szCs w:val="20"/>
              </w:rPr>
            </w:pPr>
            <w:r>
              <w:rPr>
                <w:rFonts w:cstheme="minorHAnsi"/>
                <w:szCs w:val="20"/>
              </w:rPr>
              <w:t>Deemed</w:t>
            </w:r>
          </w:p>
        </w:tc>
        <w:tc>
          <w:tcPr>
            <w:tcW w:w="430" w:type="pct"/>
          </w:tcPr>
          <w:p w14:paraId="76698D49" w14:textId="0CC5C12C" w:rsidR="00681367" w:rsidRPr="00500C4E" w:rsidRDefault="00681367" w:rsidP="001C3DA9">
            <w:pPr>
              <w:rPr>
                <w:color w:val="FF0000"/>
                <w:szCs w:val="20"/>
              </w:rPr>
            </w:pPr>
            <w:r>
              <w:rPr>
                <w:rFonts w:cstheme="minorHAnsi"/>
                <w:szCs w:val="20"/>
              </w:rPr>
              <w:t>0.65</w:t>
            </w:r>
          </w:p>
        </w:tc>
      </w:tr>
      <w:tr w:rsidR="00681367" w:rsidRPr="00500C4E" w14:paraId="49310B4D" w14:textId="77777777" w:rsidTr="001C3DA9">
        <w:tc>
          <w:tcPr>
            <w:tcW w:w="673" w:type="pct"/>
          </w:tcPr>
          <w:p w14:paraId="2EDA5F1B" w14:textId="78B90852" w:rsidR="00681367" w:rsidRPr="00500C4E" w:rsidRDefault="00681367" w:rsidP="001C3DA9">
            <w:pPr>
              <w:rPr>
                <w:color w:val="FF0000"/>
                <w:szCs w:val="20"/>
              </w:rPr>
            </w:pPr>
            <w:r w:rsidRPr="00CA138A">
              <w:rPr>
                <w:rFonts w:cstheme="minorHAnsi"/>
                <w:szCs w:val="20"/>
              </w:rPr>
              <w:t>Com-Default-HTR-di</w:t>
            </w:r>
          </w:p>
        </w:tc>
        <w:tc>
          <w:tcPr>
            <w:tcW w:w="1923" w:type="pct"/>
          </w:tcPr>
          <w:p w14:paraId="0A7F4CEE" w14:textId="19906A09" w:rsidR="00681367" w:rsidRPr="00500C4E" w:rsidRDefault="00681367" w:rsidP="001C3DA9">
            <w:pPr>
              <w:rPr>
                <w:color w:val="FF0000"/>
                <w:szCs w:val="20"/>
              </w:rPr>
            </w:pPr>
            <w:r w:rsidRPr="00CA138A">
              <w:rPr>
                <w:rFonts w:cstheme="minorHAnsi"/>
                <w:szCs w:val="20"/>
              </w:rPr>
              <w:t>All other EEM with no evaluated NTGR; direct install to hard-to-reach only.</w:t>
            </w:r>
          </w:p>
        </w:tc>
        <w:tc>
          <w:tcPr>
            <w:tcW w:w="481" w:type="pct"/>
          </w:tcPr>
          <w:p w14:paraId="50B6E9D4" w14:textId="5440A5D3" w:rsidR="00681367" w:rsidRPr="00500C4E" w:rsidRDefault="00681367" w:rsidP="001C3DA9">
            <w:pPr>
              <w:rPr>
                <w:color w:val="FF0000"/>
                <w:szCs w:val="20"/>
              </w:rPr>
            </w:pPr>
            <w:r>
              <w:rPr>
                <w:rFonts w:cstheme="minorHAnsi"/>
                <w:szCs w:val="20"/>
              </w:rPr>
              <w:t>NonRes</w:t>
            </w:r>
          </w:p>
        </w:tc>
        <w:tc>
          <w:tcPr>
            <w:tcW w:w="578" w:type="pct"/>
          </w:tcPr>
          <w:p w14:paraId="143539AB" w14:textId="4F265F3A" w:rsidR="00681367" w:rsidRPr="00500C4E" w:rsidRDefault="00681367" w:rsidP="001C3DA9">
            <w:pPr>
              <w:rPr>
                <w:color w:val="FF0000"/>
                <w:szCs w:val="20"/>
              </w:rPr>
            </w:pPr>
            <w:r w:rsidRPr="001F3F31">
              <w:rPr>
                <w:rFonts w:cstheme="minorHAnsi"/>
                <w:szCs w:val="20"/>
              </w:rPr>
              <w:t>Any</w:t>
            </w:r>
          </w:p>
        </w:tc>
        <w:tc>
          <w:tcPr>
            <w:tcW w:w="915" w:type="pct"/>
          </w:tcPr>
          <w:p w14:paraId="58F20BD1" w14:textId="0E200A2B" w:rsidR="00681367" w:rsidRPr="00500C4E" w:rsidRDefault="00681367" w:rsidP="001C3DA9">
            <w:pPr>
              <w:rPr>
                <w:color w:val="FF0000"/>
                <w:szCs w:val="20"/>
              </w:rPr>
            </w:pPr>
            <w:r w:rsidRPr="00CA138A">
              <w:rPr>
                <w:rFonts w:cstheme="minorHAnsi"/>
                <w:szCs w:val="20"/>
              </w:rPr>
              <w:t>DirInstall</w:t>
            </w:r>
          </w:p>
        </w:tc>
        <w:tc>
          <w:tcPr>
            <w:tcW w:w="430" w:type="pct"/>
          </w:tcPr>
          <w:p w14:paraId="58BC41B1" w14:textId="7E32BBC7" w:rsidR="00681367" w:rsidRPr="00500C4E" w:rsidRDefault="00681367" w:rsidP="001C3DA9">
            <w:pPr>
              <w:rPr>
                <w:color w:val="FF0000"/>
                <w:szCs w:val="20"/>
              </w:rPr>
            </w:pPr>
            <w:r>
              <w:rPr>
                <w:rFonts w:cstheme="minorHAnsi"/>
                <w:szCs w:val="20"/>
              </w:rPr>
              <w:t>0.85</w:t>
            </w:r>
          </w:p>
        </w:tc>
      </w:tr>
      <w:tr w:rsidR="00EA3A62" w:rsidRPr="00500C4E" w14:paraId="5E74D2A7" w14:textId="77777777" w:rsidTr="001C3DA9">
        <w:tc>
          <w:tcPr>
            <w:tcW w:w="673" w:type="pct"/>
          </w:tcPr>
          <w:p w14:paraId="74627796" w14:textId="58EA0662" w:rsidR="00EA3A62" w:rsidRPr="00CA138A" w:rsidRDefault="00EA3A62" w:rsidP="001C3DA9">
            <w:pPr>
              <w:rPr>
                <w:rFonts w:cstheme="minorHAnsi"/>
                <w:szCs w:val="20"/>
              </w:rPr>
            </w:pPr>
            <w:r w:rsidRPr="00EA3A62">
              <w:rPr>
                <w:rFonts w:cstheme="minorHAnsi"/>
                <w:szCs w:val="20"/>
              </w:rPr>
              <w:t>NonRes-sAll-mLFDL-Deemed</w:t>
            </w:r>
          </w:p>
        </w:tc>
        <w:tc>
          <w:tcPr>
            <w:tcW w:w="1923" w:type="pct"/>
          </w:tcPr>
          <w:p w14:paraId="0092B061" w14:textId="760DFC8A" w:rsidR="00EA3A62" w:rsidRPr="00CA138A" w:rsidRDefault="00EA3A62" w:rsidP="001C3DA9">
            <w:pPr>
              <w:rPr>
                <w:rFonts w:cstheme="minorHAnsi"/>
                <w:szCs w:val="20"/>
              </w:rPr>
            </w:pPr>
            <w:r w:rsidRPr="00EA3A62">
              <w:rPr>
                <w:rFonts w:cstheme="minorHAnsi"/>
                <w:szCs w:val="20"/>
              </w:rPr>
              <w:t>Nonresidential Linear Fluorescent: delamping; deemed; all delivery mechanisms except upstream</w:t>
            </w:r>
          </w:p>
        </w:tc>
        <w:tc>
          <w:tcPr>
            <w:tcW w:w="481" w:type="pct"/>
          </w:tcPr>
          <w:p w14:paraId="16852885" w14:textId="58D1AD17" w:rsidR="00EA3A62" w:rsidRDefault="00EA3A62" w:rsidP="001C3DA9">
            <w:pPr>
              <w:rPr>
                <w:rFonts w:cstheme="minorHAnsi"/>
                <w:szCs w:val="20"/>
              </w:rPr>
            </w:pPr>
            <w:r>
              <w:rPr>
                <w:rFonts w:cstheme="minorHAnsi"/>
                <w:szCs w:val="20"/>
              </w:rPr>
              <w:t>NonRes</w:t>
            </w:r>
          </w:p>
        </w:tc>
        <w:tc>
          <w:tcPr>
            <w:tcW w:w="578" w:type="pct"/>
          </w:tcPr>
          <w:p w14:paraId="0D704166" w14:textId="7EEA318E" w:rsidR="00EA3A62" w:rsidRPr="001F3F31" w:rsidRDefault="00EA3A62" w:rsidP="001C3DA9">
            <w:pPr>
              <w:rPr>
                <w:rFonts w:cstheme="minorHAnsi"/>
                <w:szCs w:val="20"/>
              </w:rPr>
            </w:pPr>
            <w:r w:rsidRPr="001F3F31">
              <w:rPr>
                <w:rFonts w:cstheme="minorHAnsi"/>
                <w:szCs w:val="20"/>
              </w:rPr>
              <w:t>Any</w:t>
            </w:r>
          </w:p>
        </w:tc>
        <w:tc>
          <w:tcPr>
            <w:tcW w:w="915" w:type="pct"/>
          </w:tcPr>
          <w:p w14:paraId="2689A52F" w14:textId="4FC13718" w:rsidR="00EA3A62" w:rsidRPr="00CA138A" w:rsidRDefault="00EA3A62" w:rsidP="001C3DA9">
            <w:pPr>
              <w:rPr>
                <w:rFonts w:cstheme="minorHAnsi"/>
                <w:szCs w:val="20"/>
              </w:rPr>
            </w:pPr>
            <w:r>
              <w:rPr>
                <w:rFonts w:cstheme="minorHAnsi"/>
                <w:szCs w:val="20"/>
              </w:rPr>
              <w:t>Deemed/NonUpstream</w:t>
            </w:r>
          </w:p>
        </w:tc>
        <w:tc>
          <w:tcPr>
            <w:tcW w:w="430" w:type="pct"/>
          </w:tcPr>
          <w:p w14:paraId="0992C3F9" w14:textId="4220E0CD" w:rsidR="00EA3A62" w:rsidRDefault="00EA3A62" w:rsidP="001C3DA9">
            <w:pPr>
              <w:rPr>
                <w:rFonts w:cstheme="minorHAnsi"/>
                <w:szCs w:val="20"/>
              </w:rPr>
            </w:pPr>
            <w:r>
              <w:rPr>
                <w:rFonts w:cstheme="minorHAnsi"/>
                <w:szCs w:val="20"/>
              </w:rPr>
              <w:t>0.65</w:t>
            </w:r>
          </w:p>
        </w:tc>
      </w:tr>
      <w:tr w:rsidR="00EA3A62" w:rsidRPr="00500C4E" w14:paraId="4B67BEDF" w14:textId="77777777" w:rsidTr="001C3DA9">
        <w:tc>
          <w:tcPr>
            <w:tcW w:w="673" w:type="pct"/>
          </w:tcPr>
          <w:p w14:paraId="1D217E6E" w14:textId="2503C0E2" w:rsidR="00EA3A62" w:rsidRPr="00CA138A" w:rsidRDefault="00EA3A62" w:rsidP="001C3DA9">
            <w:pPr>
              <w:rPr>
                <w:rFonts w:cstheme="minorHAnsi"/>
                <w:szCs w:val="20"/>
              </w:rPr>
            </w:pPr>
            <w:r w:rsidRPr="00EA3A62">
              <w:rPr>
                <w:rFonts w:cstheme="minorHAnsi"/>
                <w:szCs w:val="20"/>
              </w:rPr>
              <w:t>NonRes-sAll-mLFOth-Deemed</w:t>
            </w:r>
          </w:p>
        </w:tc>
        <w:tc>
          <w:tcPr>
            <w:tcW w:w="1923" w:type="pct"/>
          </w:tcPr>
          <w:p w14:paraId="28FBF5E3" w14:textId="119E2582" w:rsidR="00EA3A62" w:rsidRPr="00CA138A" w:rsidRDefault="00EA3A62" w:rsidP="001C3DA9">
            <w:pPr>
              <w:rPr>
                <w:rFonts w:cstheme="minorHAnsi"/>
                <w:szCs w:val="20"/>
              </w:rPr>
            </w:pPr>
            <w:r w:rsidRPr="00EA3A62">
              <w:rPr>
                <w:rFonts w:cstheme="minorHAnsi"/>
                <w:szCs w:val="20"/>
              </w:rPr>
              <w:t>Nonresidential Linear Fluorescent: measures not listed elsewhere; all delivery mechanisms</w:t>
            </w:r>
          </w:p>
        </w:tc>
        <w:tc>
          <w:tcPr>
            <w:tcW w:w="481" w:type="pct"/>
          </w:tcPr>
          <w:p w14:paraId="6514DA95" w14:textId="64E8F5F3" w:rsidR="00EA3A62" w:rsidRDefault="00EA3A62" w:rsidP="001C3DA9">
            <w:pPr>
              <w:rPr>
                <w:rFonts w:cstheme="minorHAnsi"/>
                <w:szCs w:val="20"/>
              </w:rPr>
            </w:pPr>
            <w:r>
              <w:rPr>
                <w:rFonts w:cstheme="minorHAnsi"/>
                <w:szCs w:val="20"/>
              </w:rPr>
              <w:t>NonRes</w:t>
            </w:r>
          </w:p>
        </w:tc>
        <w:tc>
          <w:tcPr>
            <w:tcW w:w="578" w:type="pct"/>
          </w:tcPr>
          <w:p w14:paraId="6C126D27" w14:textId="58304B2F" w:rsidR="00EA3A62" w:rsidRPr="001F3F31" w:rsidRDefault="00EA3A62" w:rsidP="001C3DA9">
            <w:pPr>
              <w:rPr>
                <w:rFonts w:cstheme="minorHAnsi"/>
                <w:szCs w:val="20"/>
              </w:rPr>
            </w:pPr>
            <w:r w:rsidRPr="001F3F31">
              <w:rPr>
                <w:rFonts w:cstheme="minorHAnsi"/>
                <w:szCs w:val="20"/>
              </w:rPr>
              <w:t>Any</w:t>
            </w:r>
          </w:p>
        </w:tc>
        <w:tc>
          <w:tcPr>
            <w:tcW w:w="915" w:type="pct"/>
          </w:tcPr>
          <w:p w14:paraId="19F26802" w14:textId="426B7893" w:rsidR="00EA3A62" w:rsidRPr="00CA138A" w:rsidRDefault="00EA3A62" w:rsidP="001C3DA9">
            <w:pPr>
              <w:rPr>
                <w:rFonts w:cstheme="minorHAnsi"/>
                <w:szCs w:val="20"/>
              </w:rPr>
            </w:pPr>
            <w:r>
              <w:rPr>
                <w:rFonts w:cstheme="minorHAnsi"/>
                <w:szCs w:val="20"/>
              </w:rPr>
              <w:t>Deemed</w:t>
            </w:r>
          </w:p>
        </w:tc>
        <w:tc>
          <w:tcPr>
            <w:tcW w:w="430" w:type="pct"/>
          </w:tcPr>
          <w:p w14:paraId="038CCB81" w14:textId="025CF89C" w:rsidR="00EA3A62" w:rsidRDefault="00EA3A62" w:rsidP="001C3DA9">
            <w:pPr>
              <w:rPr>
                <w:rFonts w:cstheme="minorHAnsi"/>
                <w:szCs w:val="20"/>
              </w:rPr>
            </w:pPr>
            <w:r>
              <w:rPr>
                <w:rFonts w:cstheme="minorHAnsi"/>
                <w:szCs w:val="20"/>
              </w:rPr>
              <w:t>0.6</w:t>
            </w:r>
          </w:p>
        </w:tc>
      </w:tr>
    </w:tbl>
    <w:p w14:paraId="2595EDF1" w14:textId="42D8F4B0" w:rsidR="000968C6" w:rsidRPr="00EA3A62" w:rsidRDefault="00FB2590" w:rsidP="000968C6">
      <w:pPr>
        <w:pStyle w:val="Reminders"/>
        <w:rPr>
          <w:rFonts w:asciiTheme="minorHAnsi" w:hAnsiTheme="minorHAnsi" w:cstheme="minorHAnsi"/>
          <w:i w:val="0"/>
          <w:color w:val="auto"/>
          <w:sz w:val="20"/>
          <w:szCs w:val="20"/>
        </w:rPr>
      </w:pPr>
      <w:r w:rsidRPr="00EA3A62">
        <w:rPr>
          <w:rFonts w:asciiTheme="minorHAnsi" w:hAnsiTheme="minorHAnsi" w:cstheme="minorHAnsi"/>
          <w:i w:val="0"/>
          <w:color w:val="auto"/>
          <w:sz w:val="20"/>
          <w:szCs w:val="20"/>
        </w:rPr>
        <w:t>Note: Direct install measures that are not hard-to-reach will use the default NTG value.</w:t>
      </w:r>
    </w:p>
    <w:p w14:paraId="0E13CC18" w14:textId="77777777" w:rsidR="00C018E0" w:rsidRDefault="00C018E0" w:rsidP="000968C6">
      <w:pPr>
        <w:pStyle w:val="Reminders"/>
        <w:rPr>
          <w:rFonts w:asciiTheme="minorHAnsi" w:hAnsiTheme="minorHAnsi" w:cstheme="minorHAnsi"/>
          <w:i w:val="0"/>
          <w:szCs w:val="22"/>
        </w:rPr>
      </w:pPr>
    </w:p>
    <w:p w14:paraId="26ADBAEF" w14:textId="77777777" w:rsidR="00EA3A62" w:rsidRDefault="00EA3A62" w:rsidP="00EA3A62">
      <w:pPr>
        <w:rPr>
          <w:rFonts w:cstheme="minorHAnsi"/>
          <w:szCs w:val="22"/>
        </w:rPr>
      </w:pPr>
      <w:r w:rsidRPr="00CA138A">
        <w:rPr>
          <w:rFonts w:cstheme="minorHAnsi"/>
          <w:szCs w:val="22"/>
        </w:rPr>
        <w:t xml:space="preserve">This work paper includes measures that are offered via direct install activities into hard-to-reach (HTR) customer facilities.  “Final Resolution E-4700”, dated December 18, 2014, defines specific criteria to classify customer facilities as HTR and also states that two criteria are sufficient to identify HTR customers if one of the criteria met is the geographic criteria.  </w:t>
      </w:r>
    </w:p>
    <w:p w14:paraId="6CB741BF" w14:textId="77777777" w:rsidR="00D06B9B" w:rsidRPr="00CA138A" w:rsidRDefault="00D06B9B" w:rsidP="00EA3A62">
      <w:pPr>
        <w:rPr>
          <w:rFonts w:cstheme="minorHAnsi"/>
          <w:szCs w:val="22"/>
        </w:rPr>
      </w:pPr>
    </w:p>
    <w:p w14:paraId="71E93265" w14:textId="496F207A" w:rsidR="00EA3A62" w:rsidRDefault="00EA3A62" w:rsidP="00EA3A62">
      <w:pPr>
        <w:rPr>
          <w:rFonts w:cstheme="minorHAnsi"/>
          <w:szCs w:val="22"/>
        </w:rPr>
      </w:pPr>
      <w:r w:rsidRPr="00CA138A">
        <w:rPr>
          <w:rFonts w:cstheme="minorHAnsi"/>
          <w:szCs w:val="22"/>
        </w:rPr>
        <w:t xml:space="preserve">SCE’s Commercial Direct Install program delivers free and low cost energy efficiency hardware retrofits through installation contractors to reduce peak demand and energy savings for small and medium commercial customers.  The barriers for customer participation include limited capital resources, lack of </w:t>
      </w:r>
      <w:r w:rsidRPr="00CA138A">
        <w:rPr>
          <w:rFonts w:cstheme="minorHAnsi"/>
          <w:szCs w:val="22"/>
        </w:rPr>
        <w:lastRenderedPageBreak/>
        <w:t>expertise and understanding of the understanding of the benefits of energy efficiency, a suspicion of the “free offer” and its legitimacy, and language and cultural barriers.  The program also addresses the ongoing concern with “split incentives”, where the customer is not the owner of the property, and therefore, lack incentive to improve their energy usage.  SCE’s Commercial Direct Install program will track the following three (3) customer data points to identify direct install activities in HTR customer facilities.  If geography and business size criteria are satisfied, SCE will identify the customer as HTR.  If geography and language criteria are satisfied, SCE will identify the customer as HTR.  Other measures in the Commercial Direct Install program will receive</w:t>
      </w:r>
      <w:r>
        <w:rPr>
          <w:rFonts w:cstheme="minorHAnsi"/>
          <w:szCs w:val="22"/>
        </w:rPr>
        <w:t xml:space="preserve"> NTG values listed in</w:t>
      </w:r>
      <w:r w:rsidR="001D28FD">
        <w:rPr>
          <w:rFonts w:cstheme="minorHAnsi"/>
          <w:szCs w:val="22"/>
        </w:rPr>
        <w:t xml:space="preserve"> NTG Table above</w:t>
      </w:r>
      <w:r>
        <w:rPr>
          <w:rFonts w:cstheme="minorHAnsi"/>
          <w:szCs w:val="22"/>
        </w:rPr>
        <w:t>.</w:t>
      </w:r>
    </w:p>
    <w:p w14:paraId="1A3F4926" w14:textId="77777777" w:rsidR="00EA3A62" w:rsidRPr="00CA138A" w:rsidRDefault="00EA3A62" w:rsidP="00EA3A62">
      <w:pPr>
        <w:rPr>
          <w:rFonts w:cstheme="minorHAnsi"/>
          <w:szCs w:val="22"/>
        </w:rPr>
      </w:pPr>
    </w:p>
    <w:p w14:paraId="08E60568" w14:textId="77777777" w:rsidR="00EA3A62" w:rsidRPr="00CA138A" w:rsidRDefault="00EA3A62" w:rsidP="00EA3A62">
      <w:pPr>
        <w:pStyle w:val="ListParagraph"/>
        <w:numPr>
          <w:ilvl w:val="0"/>
          <w:numId w:val="39"/>
        </w:numPr>
        <w:spacing w:after="200" w:line="276" w:lineRule="auto"/>
        <w:rPr>
          <w:rFonts w:cstheme="minorHAnsi"/>
        </w:rPr>
      </w:pPr>
      <w:r w:rsidRPr="00CA138A">
        <w:rPr>
          <w:rFonts w:cstheme="minorHAnsi"/>
        </w:rPr>
        <w:t xml:space="preserve">Business Size – Customer must have less than ten employees </w:t>
      </w:r>
    </w:p>
    <w:p w14:paraId="7B6A2F02" w14:textId="77777777" w:rsidR="00EA3A62" w:rsidRPr="00CA138A" w:rsidRDefault="00EA3A62" w:rsidP="00EA3A62">
      <w:pPr>
        <w:pStyle w:val="ListParagraph"/>
        <w:numPr>
          <w:ilvl w:val="0"/>
          <w:numId w:val="39"/>
        </w:numPr>
        <w:spacing w:after="200" w:line="276" w:lineRule="auto"/>
        <w:rPr>
          <w:rFonts w:cstheme="minorHAnsi"/>
        </w:rPr>
      </w:pPr>
      <w:r w:rsidRPr="00CA138A">
        <w:rPr>
          <w:rFonts w:cstheme="minorHAnsi"/>
        </w:rPr>
        <w:t>Language – Customer’s primary language spoken is not English</w:t>
      </w:r>
    </w:p>
    <w:p w14:paraId="68FF9487" w14:textId="77777777" w:rsidR="009226F8" w:rsidRDefault="00EA3A62" w:rsidP="00EA3A62">
      <w:pPr>
        <w:pStyle w:val="ListParagraph"/>
        <w:numPr>
          <w:ilvl w:val="0"/>
          <w:numId w:val="39"/>
        </w:numPr>
        <w:spacing w:after="200" w:line="276" w:lineRule="auto"/>
        <w:rPr>
          <w:rFonts w:cstheme="minorHAnsi"/>
        </w:rPr>
      </w:pPr>
      <w:r w:rsidRPr="00CA138A">
        <w:rPr>
          <w:rFonts w:cstheme="minorHAnsi"/>
        </w:rPr>
        <w:t>Geography – Businesses in areas other than the United States Office of Management and Budget (OMB) Combined Statistical Areas (CSA) of the San Francisco Bay Area, the Greater Los Angeles Area and the Greater Sacramento Area or the OBM metropolitan statistical areas or San Diego County</w:t>
      </w:r>
    </w:p>
    <w:p w14:paraId="3D68E628" w14:textId="77777777" w:rsidR="009226F8" w:rsidRDefault="009226F8" w:rsidP="009226F8">
      <w:pPr>
        <w:pStyle w:val="ListParagraph"/>
        <w:spacing w:after="200" w:line="276" w:lineRule="auto"/>
        <w:rPr>
          <w:rFonts w:cstheme="minorHAnsi"/>
        </w:rPr>
      </w:pPr>
      <w:r>
        <w:rPr>
          <w:rFonts w:cstheme="minorHAnsi"/>
        </w:rPr>
        <w:t>T</w:t>
      </w:r>
      <w:r w:rsidR="00EA3A62" w:rsidRPr="00CA138A">
        <w:rPr>
          <w:rFonts w:cstheme="minorHAnsi"/>
        </w:rPr>
        <w:t>he “Required Corrections to Measure Level Input Parameters Identified by Commission Staff per D.14-10-046 Order Paragraph 16”, dated November 3, 2014, includes additional clarification for the geographic criteria:</w:t>
      </w:r>
      <w:r w:rsidR="00953236">
        <w:rPr>
          <w:rFonts w:cstheme="minorHAnsi"/>
        </w:rPr>
        <w:t xml:space="preserve"> </w:t>
      </w:r>
    </w:p>
    <w:p w14:paraId="3C4442B2" w14:textId="77777777" w:rsidR="009226F8" w:rsidRDefault="00EA3A62" w:rsidP="009226F8">
      <w:pPr>
        <w:pStyle w:val="ListParagraph"/>
        <w:spacing w:after="200" w:line="276" w:lineRule="auto"/>
        <w:rPr>
          <w:rFonts w:cstheme="minorHAnsi"/>
        </w:rPr>
      </w:pPr>
      <w:r w:rsidRPr="00CA138A">
        <w:rPr>
          <w:rFonts w:cstheme="minorHAnsi"/>
        </w:rPr>
        <w:t>“Notes on OMB CSA designations:</w:t>
      </w:r>
      <w:r w:rsidR="00953236">
        <w:rPr>
          <w:rFonts w:cstheme="minorHAnsi"/>
        </w:rPr>
        <w:t xml:space="preserve"> </w:t>
      </w:r>
    </w:p>
    <w:p w14:paraId="7C821EC4" w14:textId="77777777" w:rsidR="009226F8" w:rsidRDefault="00EA3A62" w:rsidP="009226F8">
      <w:pPr>
        <w:pStyle w:val="ListParagraph"/>
        <w:spacing w:after="200" w:line="276" w:lineRule="auto"/>
        <w:rPr>
          <w:rFonts w:cstheme="minorHAnsi"/>
        </w:rPr>
      </w:pPr>
      <w:r w:rsidRPr="00CA138A">
        <w:rPr>
          <w:rFonts w:cstheme="minorHAnsi"/>
        </w:rPr>
        <w:t>The OMB has designated a 12-county CSA titled the San Jose-San Francisco-Oakland, CA Combined Statistical Area which includes the nine counties of Alameda, Contra Costa, Marin, Napa, San Francisco, San Mateo, Santa Clara, Solano, and Sonoma which border the San Francisco Bay plus the three counties of San Joaquin, Santa Cruz, and San Benito that are economically tied to the nine counties that that border the San Francisco Bay.</w:t>
      </w:r>
    </w:p>
    <w:p w14:paraId="75428432" w14:textId="77777777" w:rsidR="009226F8" w:rsidRDefault="00EA3A62" w:rsidP="009226F8">
      <w:pPr>
        <w:pStyle w:val="ListParagraph"/>
        <w:spacing w:after="200" w:line="276" w:lineRule="auto"/>
        <w:rPr>
          <w:rFonts w:cstheme="minorHAnsi"/>
        </w:rPr>
      </w:pPr>
      <w:r w:rsidRPr="00CA138A">
        <w:rPr>
          <w:rFonts w:cstheme="minorHAnsi"/>
        </w:rPr>
        <w:t>The OMB definition of this CSA includes Los Angeles, Orange, San Bernardino, Riverside and Ventura counties.</w:t>
      </w:r>
      <w:r>
        <w:rPr>
          <w:rFonts w:cstheme="minorHAnsi"/>
        </w:rPr>
        <w:t xml:space="preserve"> </w:t>
      </w:r>
    </w:p>
    <w:p w14:paraId="339A63D4" w14:textId="0F6D7587" w:rsidR="00EA3A62" w:rsidRPr="00CA138A" w:rsidRDefault="00EA3A62" w:rsidP="009226F8">
      <w:pPr>
        <w:pStyle w:val="ListParagraph"/>
        <w:spacing w:after="200" w:line="276" w:lineRule="auto"/>
        <w:rPr>
          <w:rFonts w:cstheme="minorHAnsi"/>
        </w:rPr>
      </w:pPr>
      <w:r w:rsidRPr="00CA138A">
        <w:rPr>
          <w:rFonts w:cstheme="minorHAnsi"/>
        </w:rPr>
        <w:t xml:space="preserve">The OMB definition of this CSA includes Sacramento, Yolo, El Dorado, Placer, Sutter, Yuba, and Nevada counties.”  </w:t>
      </w: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14D50B5F" w14:textId="77777777" w:rsidR="001C3DA9" w:rsidRPr="00920905" w:rsidRDefault="001C3DA9" w:rsidP="00920905">
      <w:pPr>
        <w:pStyle w:val="NoSpacing"/>
      </w:pP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1C3DA9">
        <w:tc>
          <w:tcPr>
            <w:tcW w:w="722" w:type="pct"/>
            <w:shd w:val="clear" w:color="auto" w:fill="D9D9D9" w:themeFill="background1" w:themeFillShade="D9"/>
          </w:tcPr>
          <w:p w14:paraId="75105F70" w14:textId="77777777" w:rsidR="006B4A48" w:rsidRPr="00920905" w:rsidRDefault="00BA2E7E" w:rsidP="001C3DA9">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1C3DA9">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1C3DA9">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1C3DA9">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1C3DA9">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1C3DA9">
            <w:pPr>
              <w:rPr>
                <w:rFonts w:cstheme="minorHAnsi"/>
                <w:b/>
                <w:szCs w:val="20"/>
              </w:rPr>
            </w:pPr>
            <w:r w:rsidRPr="00920905">
              <w:rPr>
                <w:rFonts w:cstheme="minorHAnsi"/>
                <w:b/>
                <w:szCs w:val="20"/>
              </w:rPr>
              <w:t>GSIAValue</w:t>
            </w:r>
          </w:p>
        </w:tc>
      </w:tr>
      <w:tr w:rsidR="00EA3A62" w:rsidRPr="00500C4E" w14:paraId="3AEFCD58" w14:textId="77777777" w:rsidTr="001C3DA9">
        <w:tc>
          <w:tcPr>
            <w:tcW w:w="722" w:type="pct"/>
          </w:tcPr>
          <w:p w14:paraId="011A99F5" w14:textId="77777777" w:rsidR="00583F00" w:rsidRPr="00583F00" w:rsidRDefault="00583F00" w:rsidP="001C3DA9">
            <w:pPr>
              <w:rPr>
                <w:szCs w:val="20"/>
              </w:rPr>
            </w:pPr>
            <w:r w:rsidRPr="00583F00">
              <w:rPr>
                <w:szCs w:val="20"/>
              </w:rPr>
              <w:t>Com-LF-All</w:t>
            </w:r>
          </w:p>
          <w:p w14:paraId="20565B79" w14:textId="3B25974A" w:rsidR="00EA3A62" w:rsidRPr="00500C4E" w:rsidRDefault="00EA3A62" w:rsidP="001C3DA9">
            <w:pPr>
              <w:rPr>
                <w:color w:val="FF0000"/>
                <w:szCs w:val="20"/>
              </w:rPr>
            </w:pPr>
          </w:p>
        </w:tc>
        <w:tc>
          <w:tcPr>
            <w:tcW w:w="1404" w:type="pct"/>
          </w:tcPr>
          <w:p w14:paraId="2BFFF598" w14:textId="24CC4F4E" w:rsidR="00EA3A62" w:rsidRPr="00500C4E" w:rsidRDefault="00583F00" w:rsidP="001C3DA9">
            <w:pPr>
              <w:rPr>
                <w:color w:val="FF0000"/>
                <w:szCs w:val="20"/>
              </w:rPr>
            </w:pPr>
            <w:r w:rsidRPr="00583F00">
              <w:rPr>
                <w:szCs w:val="20"/>
              </w:rPr>
              <w:t>Non-Res Linear Fluorescent fixture; Annual Installation Rate</w:t>
            </w:r>
          </w:p>
        </w:tc>
        <w:tc>
          <w:tcPr>
            <w:tcW w:w="688" w:type="pct"/>
          </w:tcPr>
          <w:p w14:paraId="157D8A62" w14:textId="08228C67" w:rsidR="00EA3A62" w:rsidRPr="00500C4E" w:rsidRDefault="00EA3A62" w:rsidP="001C3DA9">
            <w:pPr>
              <w:rPr>
                <w:color w:val="FF0000"/>
                <w:szCs w:val="20"/>
              </w:rPr>
            </w:pPr>
            <w:r w:rsidRPr="00D5728E">
              <w:rPr>
                <w:szCs w:val="20"/>
              </w:rPr>
              <w:t>Any</w:t>
            </w:r>
          </w:p>
        </w:tc>
        <w:tc>
          <w:tcPr>
            <w:tcW w:w="858" w:type="pct"/>
          </w:tcPr>
          <w:p w14:paraId="0C3293FE" w14:textId="77E44066" w:rsidR="00EA3A62" w:rsidRPr="00500C4E" w:rsidRDefault="00EA3A62" w:rsidP="001C3DA9">
            <w:pPr>
              <w:rPr>
                <w:color w:val="FF0000"/>
                <w:szCs w:val="20"/>
              </w:rPr>
            </w:pPr>
            <w:r w:rsidRPr="00D5728E">
              <w:rPr>
                <w:szCs w:val="20"/>
              </w:rPr>
              <w:t>Any</w:t>
            </w:r>
          </w:p>
        </w:tc>
        <w:tc>
          <w:tcPr>
            <w:tcW w:w="693" w:type="pct"/>
          </w:tcPr>
          <w:p w14:paraId="0B642835" w14:textId="0A03193F" w:rsidR="00EA3A62" w:rsidRPr="00500C4E" w:rsidRDefault="00EA3A62" w:rsidP="001C3DA9">
            <w:pPr>
              <w:rPr>
                <w:color w:val="FF0000"/>
                <w:szCs w:val="20"/>
              </w:rPr>
            </w:pPr>
            <w:r w:rsidRPr="00D5728E">
              <w:rPr>
                <w:szCs w:val="20"/>
              </w:rPr>
              <w:t>Any</w:t>
            </w:r>
          </w:p>
        </w:tc>
        <w:tc>
          <w:tcPr>
            <w:tcW w:w="634" w:type="pct"/>
          </w:tcPr>
          <w:p w14:paraId="1C671DD2" w14:textId="38DF5D57" w:rsidR="00EA3A62" w:rsidRPr="00500C4E" w:rsidRDefault="00583F00" w:rsidP="001C3DA9">
            <w:pPr>
              <w:rPr>
                <w:color w:val="FF0000"/>
                <w:szCs w:val="20"/>
              </w:rPr>
            </w:pPr>
            <w:r>
              <w:rPr>
                <w:szCs w:val="20"/>
              </w:rPr>
              <w:t>0.934</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096F3CF" w:rsidR="008B1357" w:rsidRDefault="006A6D15" w:rsidP="00920905">
      <w:pPr>
        <w:pStyle w:val="NoSpacing"/>
      </w:pPr>
      <w:r w:rsidRPr="0087393E">
        <w:lastRenderedPageBreak/>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p w14:paraId="18952B4A" w14:textId="77777777" w:rsidR="00207BE0" w:rsidRDefault="00207BE0" w:rsidP="00920905">
      <w:pPr>
        <w:pStyle w:val="NoSpacing"/>
      </w:pPr>
    </w:p>
    <w:p w14:paraId="2DAA6384" w14:textId="77777777" w:rsidR="00207BE0" w:rsidRDefault="00207BE0" w:rsidP="00920905">
      <w:pPr>
        <w:pStyle w:val="NoSpacing"/>
      </w:pPr>
    </w:p>
    <w:p w14:paraId="7CB88A2E" w14:textId="77777777" w:rsidR="00207BE0" w:rsidRDefault="00207BE0" w:rsidP="00920905">
      <w:pPr>
        <w:pStyle w:val="NoSpacing"/>
      </w:pPr>
    </w:p>
    <w:p w14:paraId="4C220B4F" w14:textId="77777777" w:rsidR="001C3DA9" w:rsidRPr="00920905" w:rsidRDefault="001C3DA9" w:rsidP="00920905">
      <w:pPr>
        <w:pStyle w:val="NoSpacing"/>
      </w:pP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500C4E" w14:paraId="5A9EC2BE" w14:textId="77777777" w:rsidTr="001C3DA9">
        <w:tc>
          <w:tcPr>
            <w:tcW w:w="824" w:type="pct"/>
            <w:shd w:val="clear" w:color="auto" w:fill="D9D9D9" w:themeFill="background1" w:themeFillShade="D9"/>
          </w:tcPr>
          <w:p w14:paraId="17686FBF" w14:textId="77777777" w:rsidR="008B1357" w:rsidRPr="00920905" w:rsidRDefault="008B1357" w:rsidP="001C3DA9">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1C3DA9">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1C3DA9">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1C3DA9">
            <w:pPr>
              <w:rPr>
                <w:rFonts w:cstheme="minorHAnsi"/>
                <w:b/>
                <w:szCs w:val="20"/>
              </w:rPr>
            </w:pPr>
            <w:r w:rsidRPr="00920905">
              <w:rPr>
                <w:rFonts w:cstheme="minorHAnsi"/>
                <w:b/>
                <w:szCs w:val="20"/>
              </w:rPr>
              <w:t>UseCategory</w:t>
            </w:r>
          </w:p>
        </w:tc>
        <w:tc>
          <w:tcPr>
            <w:tcW w:w="813" w:type="pct"/>
            <w:shd w:val="clear" w:color="auto" w:fill="D9D9D9" w:themeFill="background1" w:themeFillShade="D9"/>
          </w:tcPr>
          <w:p w14:paraId="64D571F2" w14:textId="77777777" w:rsidR="008B1357" w:rsidRPr="00920905" w:rsidRDefault="008B1357" w:rsidP="001C3DA9">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1C3DA9">
            <w:pPr>
              <w:rPr>
                <w:rFonts w:cstheme="minorHAnsi"/>
                <w:b/>
                <w:szCs w:val="20"/>
              </w:rPr>
            </w:pPr>
            <w:r w:rsidRPr="00920905">
              <w:rPr>
                <w:rFonts w:cstheme="minorHAnsi"/>
                <w:b/>
                <w:szCs w:val="20"/>
              </w:rPr>
              <w:t>RUL (Years)</w:t>
            </w:r>
          </w:p>
        </w:tc>
      </w:tr>
      <w:tr w:rsidR="00BA2E7E" w:rsidRPr="00500C4E" w14:paraId="23E3B0B0" w14:textId="77777777" w:rsidTr="001C3DA9">
        <w:trPr>
          <w:trHeight w:val="243"/>
        </w:trPr>
        <w:tc>
          <w:tcPr>
            <w:tcW w:w="824" w:type="pct"/>
          </w:tcPr>
          <w:p w14:paraId="17A1D7F4" w14:textId="59B94BF4" w:rsidR="00BA2E7E" w:rsidRPr="00500C4E" w:rsidRDefault="001D4CBC" w:rsidP="001C3DA9">
            <w:pPr>
              <w:rPr>
                <w:color w:val="FF0000"/>
                <w:szCs w:val="20"/>
              </w:rPr>
            </w:pPr>
            <w:r w:rsidRPr="00370225">
              <w:rPr>
                <w:rFonts w:cstheme="minorHAnsi"/>
                <w:szCs w:val="20"/>
              </w:rPr>
              <w:t>ILtg-T5</w:t>
            </w:r>
          </w:p>
        </w:tc>
        <w:tc>
          <w:tcPr>
            <w:tcW w:w="1436" w:type="pct"/>
          </w:tcPr>
          <w:p w14:paraId="36E678D1" w14:textId="00713F6A" w:rsidR="00BA2E7E" w:rsidRPr="00500C4E" w:rsidRDefault="001D4CBC" w:rsidP="001C3DA9">
            <w:pPr>
              <w:rPr>
                <w:color w:val="FF0000"/>
                <w:szCs w:val="20"/>
              </w:rPr>
            </w:pPr>
            <w:r w:rsidRPr="00697868">
              <w:rPr>
                <w:rFonts w:cstheme="minorHAnsi"/>
                <w:szCs w:val="20"/>
              </w:rPr>
              <w:t>Non-Residential</w:t>
            </w:r>
          </w:p>
        </w:tc>
        <w:tc>
          <w:tcPr>
            <w:tcW w:w="474" w:type="pct"/>
          </w:tcPr>
          <w:p w14:paraId="42B5C736" w14:textId="554C33CE" w:rsidR="00BA2E7E" w:rsidRPr="00500C4E" w:rsidRDefault="001D4CBC" w:rsidP="001C3DA9">
            <w:pPr>
              <w:rPr>
                <w:color w:val="FF0000"/>
                <w:szCs w:val="20"/>
              </w:rPr>
            </w:pPr>
            <w:r w:rsidRPr="00E53E7E">
              <w:rPr>
                <w:rFonts w:cstheme="minorHAnsi"/>
                <w:szCs w:val="20"/>
              </w:rPr>
              <w:t>Indoor Lighting</w:t>
            </w:r>
          </w:p>
        </w:tc>
        <w:tc>
          <w:tcPr>
            <w:tcW w:w="676" w:type="pct"/>
          </w:tcPr>
          <w:p w14:paraId="52A841ED" w14:textId="035DFCCF" w:rsidR="00BA2E7E" w:rsidRPr="00500C4E" w:rsidRDefault="001D4CBC" w:rsidP="001C3DA9">
            <w:pPr>
              <w:rPr>
                <w:color w:val="FF0000"/>
                <w:szCs w:val="20"/>
              </w:rPr>
            </w:pPr>
            <w:r w:rsidRPr="00E53E7E">
              <w:rPr>
                <w:rFonts w:cstheme="minorHAnsi"/>
                <w:szCs w:val="20"/>
              </w:rPr>
              <w:t>Linear Fluorescents</w:t>
            </w:r>
          </w:p>
        </w:tc>
        <w:tc>
          <w:tcPr>
            <w:tcW w:w="813" w:type="pct"/>
          </w:tcPr>
          <w:p w14:paraId="6F67FA9F" w14:textId="77777777" w:rsidR="001D4CBC" w:rsidRPr="0054570B" w:rsidRDefault="001D4CBC" w:rsidP="001C3DA9">
            <w:pPr>
              <w:rPr>
                <w:rFonts w:cstheme="minorHAnsi"/>
                <w:szCs w:val="20"/>
              </w:rPr>
            </w:pPr>
            <w:r w:rsidRPr="0054570B">
              <w:rPr>
                <w:rFonts w:cstheme="minorHAnsi"/>
                <w:szCs w:val="20"/>
              </w:rPr>
              <w:t>EUL varies by building type</w:t>
            </w:r>
          </w:p>
          <w:p w14:paraId="03069B7A" w14:textId="77777777" w:rsidR="001D4CBC" w:rsidRPr="0054570B" w:rsidRDefault="001D4CBC" w:rsidP="001C3DA9">
            <w:pPr>
              <w:rPr>
                <w:rFonts w:cstheme="minorHAnsi"/>
                <w:szCs w:val="20"/>
              </w:rPr>
            </w:pPr>
            <w:r w:rsidRPr="0054570B">
              <w:rPr>
                <w:rFonts w:cstheme="minorHAnsi"/>
                <w:szCs w:val="20"/>
              </w:rPr>
              <w:t>EUL = Rated Life of Ballast (70,000 hours) / Annual usage for building type (usage provided by DEER)  OR</w:t>
            </w:r>
          </w:p>
          <w:p w14:paraId="1BF5FCBD" w14:textId="2F875896" w:rsidR="00BA2E7E" w:rsidRPr="00500C4E" w:rsidRDefault="001D4CBC" w:rsidP="001C3DA9">
            <w:pPr>
              <w:rPr>
                <w:color w:val="FF0000"/>
                <w:szCs w:val="20"/>
              </w:rPr>
            </w:pPr>
            <w:r w:rsidRPr="0054570B">
              <w:rPr>
                <w:rFonts w:cstheme="minorHAnsi"/>
                <w:szCs w:val="20"/>
              </w:rPr>
              <w:t>15 years (whichever is less).</w:t>
            </w:r>
          </w:p>
        </w:tc>
        <w:tc>
          <w:tcPr>
            <w:tcW w:w="777" w:type="pct"/>
          </w:tcPr>
          <w:p w14:paraId="46ED97C1" w14:textId="3E6C3B93" w:rsidR="00BA2E7E" w:rsidRPr="00500C4E" w:rsidRDefault="001D4CBC" w:rsidP="001C3DA9">
            <w:pPr>
              <w:rPr>
                <w:color w:val="FF0000"/>
                <w:szCs w:val="20"/>
              </w:rPr>
            </w:pPr>
            <w:r>
              <w:rPr>
                <w:rFonts w:cstheme="minorHAnsi"/>
                <w:szCs w:val="20"/>
              </w:rPr>
              <w:t>RUL value i</w:t>
            </w:r>
            <w:r w:rsidRPr="0054570B">
              <w:rPr>
                <w:rFonts w:cstheme="minorHAnsi"/>
                <w:szCs w:val="20"/>
              </w:rPr>
              <w:t>s a flat 1/3 of the EUL value</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6817EA52" w14:textId="49F0EC7B" w:rsidR="006B3254" w:rsidRPr="001651EF" w:rsidRDefault="006B3254" w:rsidP="006B3254">
      <w:pPr>
        <w:rPr>
          <w:rFonts w:cstheme="minorHAnsi"/>
          <w:szCs w:val="22"/>
        </w:rPr>
      </w:pPr>
      <w:r w:rsidRPr="00F81462">
        <w:rPr>
          <w:rFonts w:cstheme="minorHAnsi"/>
          <w:szCs w:val="22"/>
        </w:rPr>
        <w:t xml:space="preserve">Title 24 </w:t>
      </w:r>
      <w:r>
        <w:rPr>
          <w:rFonts w:cstheme="minorHAnsi"/>
          <w:szCs w:val="22"/>
        </w:rPr>
        <w:t>201</w:t>
      </w:r>
      <w:r w:rsidR="001651EF">
        <w:rPr>
          <w:rFonts w:cstheme="minorHAnsi"/>
          <w:szCs w:val="22"/>
        </w:rPr>
        <w:t>6</w:t>
      </w:r>
      <w:r>
        <w:rPr>
          <w:rFonts w:cstheme="minorHAnsi"/>
          <w:szCs w:val="22"/>
        </w:rPr>
        <w:t xml:space="preserve"> [</w:t>
      </w:r>
      <w:r w:rsidR="001651EF">
        <w:rPr>
          <w:rFonts w:cstheme="minorHAnsi"/>
          <w:szCs w:val="22"/>
        </w:rPr>
        <w:t>496</w:t>
      </w:r>
      <w:r>
        <w:rPr>
          <w:rFonts w:cstheme="minorHAnsi"/>
          <w:szCs w:val="22"/>
        </w:rPr>
        <w:t>]</w:t>
      </w:r>
      <w:r w:rsidRPr="00F81462">
        <w:rPr>
          <w:rFonts w:cstheme="minorHAnsi"/>
          <w:szCs w:val="22"/>
        </w:rPr>
        <w:t xml:space="preserve"> defines an alteration as “any change to a building's water-heating system, space-</w:t>
      </w:r>
      <w:r w:rsidRPr="007A7A9D">
        <w:rPr>
          <w:rFonts w:cstheme="minorHAnsi"/>
          <w:szCs w:val="22"/>
        </w:rPr>
        <w:t>conditioning system, lighting system, or envelope that is not an addition. Alteration is also any change that is regulated by Part 6 to an outdoor lighting system that is not an addition. Alteration is also any change that is regulated by Part 6 to signs located</w:t>
      </w:r>
      <w:r>
        <w:rPr>
          <w:rFonts w:cstheme="minorHAnsi"/>
          <w:szCs w:val="22"/>
        </w:rPr>
        <w:t xml:space="preserve"> either indoors or outdoors</w:t>
      </w:r>
      <w:r w:rsidR="001651EF">
        <w:rPr>
          <w:rFonts w:cstheme="minorHAnsi"/>
          <w:szCs w:val="22"/>
        </w:rPr>
        <w:t xml:space="preserve">. Alteration is also any </w:t>
      </w:r>
      <w:r w:rsidR="001651EF" w:rsidRPr="001651EF">
        <w:rPr>
          <w:rFonts w:cstheme="minorHAnsi"/>
          <w:szCs w:val="22"/>
        </w:rPr>
        <w:t>change that is regulated by Part 6 to a covered process that is not an addition.</w:t>
      </w:r>
      <w:r w:rsidRPr="001651EF">
        <w:rPr>
          <w:rFonts w:cstheme="minorHAnsi"/>
          <w:szCs w:val="22"/>
        </w:rPr>
        <w:t>” [</w:t>
      </w:r>
      <w:r w:rsidR="001651EF" w:rsidRPr="001651EF">
        <w:rPr>
          <w:rFonts w:cstheme="minorHAnsi"/>
          <w:szCs w:val="22"/>
        </w:rPr>
        <w:t>496]</w:t>
      </w:r>
    </w:p>
    <w:p w14:paraId="788532AA" w14:textId="77777777" w:rsidR="006B3254" w:rsidRPr="001651EF" w:rsidRDefault="006B3254" w:rsidP="006B3254">
      <w:pPr>
        <w:rPr>
          <w:rFonts w:cstheme="minorHAnsi"/>
          <w:szCs w:val="22"/>
        </w:rPr>
      </w:pPr>
    </w:p>
    <w:p w14:paraId="5DBFC4BC" w14:textId="77777777" w:rsidR="001651EF" w:rsidRPr="00033E17" w:rsidRDefault="001651EF" w:rsidP="001651EF">
      <w:pPr>
        <w:rPr>
          <w:rFonts w:cstheme="minorHAnsi"/>
          <w:szCs w:val="22"/>
        </w:rPr>
      </w:pPr>
      <w:r w:rsidRPr="00033E17">
        <w:rPr>
          <w:rFonts w:cstheme="minorHAnsi"/>
          <w:szCs w:val="22"/>
        </w:rPr>
        <w:t>In Title 24 201</w:t>
      </w:r>
      <w:r>
        <w:rPr>
          <w:rFonts w:cstheme="minorHAnsi"/>
          <w:szCs w:val="22"/>
        </w:rPr>
        <w:t>6</w:t>
      </w:r>
      <w:r w:rsidRPr="00033E17">
        <w:rPr>
          <w:rFonts w:cstheme="minorHAnsi"/>
          <w:szCs w:val="22"/>
        </w:rPr>
        <w:t xml:space="preserve"> </w:t>
      </w:r>
      <w:r>
        <w:rPr>
          <w:rFonts w:cstheme="minorHAnsi"/>
          <w:szCs w:val="22"/>
        </w:rPr>
        <w:t xml:space="preserve">Building Energy Efficiency Standards </w:t>
      </w:r>
      <w:r w:rsidRPr="00033E17">
        <w:rPr>
          <w:rFonts w:cstheme="minorHAnsi"/>
          <w:szCs w:val="22"/>
        </w:rPr>
        <w:t>[</w:t>
      </w:r>
      <w:r>
        <w:rPr>
          <w:rFonts w:cstheme="minorHAnsi"/>
          <w:szCs w:val="22"/>
        </w:rPr>
        <w:t>496</w:t>
      </w:r>
      <w:r w:rsidRPr="00033E17">
        <w:rPr>
          <w:rFonts w:cstheme="minorHAnsi"/>
          <w:szCs w:val="22"/>
        </w:rPr>
        <w:t>], Section 141.0(b)2</w:t>
      </w:r>
      <w:r>
        <w:rPr>
          <w:rFonts w:cstheme="minorHAnsi"/>
          <w:szCs w:val="22"/>
        </w:rPr>
        <w:t>J</w:t>
      </w:r>
      <w:r w:rsidRPr="00033E17">
        <w:rPr>
          <w:rFonts w:cstheme="minorHAnsi"/>
          <w:szCs w:val="22"/>
        </w:rPr>
        <w:t xml:space="preserve"> states:</w:t>
      </w:r>
    </w:p>
    <w:p w14:paraId="4F7B6712" w14:textId="77777777" w:rsidR="001651EF" w:rsidRDefault="001651EF" w:rsidP="006B3254">
      <w:pPr>
        <w:rPr>
          <w:b/>
          <w:szCs w:val="22"/>
        </w:rPr>
      </w:pPr>
    </w:p>
    <w:p w14:paraId="2D240AFF" w14:textId="4474CA23" w:rsidR="001651EF" w:rsidRDefault="001651EF" w:rsidP="006B3254">
      <w:pPr>
        <w:rPr>
          <w:szCs w:val="22"/>
        </w:rPr>
      </w:pPr>
      <w:r w:rsidRPr="001651EF">
        <w:rPr>
          <w:b/>
          <w:szCs w:val="22"/>
        </w:rPr>
        <w:t>Entire Luminaire Alterations.</w:t>
      </w:r>
      <w:r w:rsidRPr="001651EF">
        <w:rPr>
          <w:szCs w:val="22"/>
        </w:rPr>
        <w:t xml:space="preserve"> Entire luminaire alterations shall meet the following requirements: </w:t>
      </w:r>
    </w:p>
    <w:p w14:paraId="07518414" w14:textId="77777777" w:rsidR="001651EF" w:rsidRDefault="001651EF" w:rsidP="001651EF">
      <w:pPr>
        <w:pStyle w:val="ListParagraph"/>
        <w:numPr>
          <w:ilvl w:val="0"/>
          <w:numId w:val="42"/>
        </w:numPr>
        <w:spacing w:before="60"/>
        <w:ind w:left="792" w:hanging="432"/>
        <w:contextualSpacing w:val="0"/>
        <w:rPr>
          <w:szCs w:val="22"/>
        </w:rPr>
      </w:pPr>
      <w:r w:rsidRPr="001651EF">
        <w:rPr>
          <w:szCs w:val="22"/>
        </w:rPr>
        <w:t xml:space="preserve">For each enclosed space, alterations that consist of either (a) removing and reinstalling a total of 10 percent or more of the existing luminaires; or (b) replacing or adding entire luminaires; or (c) adding, removing, or replacing walls or ceilings along with any redesign of the lighting system, shall meet the lighting power allowance in Section 140.6, and the altered luminaires shall meet the applicable requirements in Table 141.0-E; or </w:t>
      </w:r>
    </w:p>
    <w:p w14:paraId="2675F13E" w14:textId="77777777" w:rsidR="001651EF" w:rsidRDefault="001651EF" w:rsidP="001651EF">
      <w:pPr>
        <w:pStyle w:val="ListParagraph"/>
        <w:numPr>
          <w:ilvl w:val="0"/>
          <w:numId w:val="42"/>
        </w:numPr>
        <w:spacing w:before="60"/>
        <w:ind w:left="792" w:hanging="432"/>
        <w:contextualSpacing w:val="0"/>
        <w:rPr>
          <w:szCs w:val="22"/>
        </w:rPr>
      </w:pPr>
      <w:r w:rsidRPr="001651EF">
        <w:rPr>
          <w:szCs w:val="22"/>
        </w:rPr>
        <w:t xml:space="preserve">For alterations where existing luminaires are replaced with new luminaires, and that do not include adding, removing, or replacing walls or ceilings along with redesign of the lighting system, the replacement luminaires in each office, retail, and hotel occupancy shall have at least 50 percent, and in all other occupancies at least 35 percent, lower rated power at full light output compared to the existing luminaires being replaced, and shall meet the requirements of Sections 130.1(a)1, 2, and 3, 130.1(c)1A through C, 130.1(c)2, 130.1(c)3, 130.1(c)4, 130.1(c)5, 130.1(c)6A, and for parking garages 130.1(c)7B. </w:t>
      </w:r>
    </w:p>
    <w:p w14:paraId="2C7F00DD" w14:textId="77777777" w:rsidR="001651EF" w:rsidRDefault="001651EF" w:rsidP="001651EF">
      <w:pPr>
        <w:pStyle w:val="ListParagraph"/>
        <w:spacing w:before="60"/>
        <w:ind w:left="360"/>
        <w:contextualSpacing w:val="0"/>
        <w:rPr>
          <w:szCs w:val="22"/>
        </w:rPr>
      </w:pPr>
      <w:r w:rsidRPr="001651EF">
        <w:rPr>
          <w:b/>
          <w:szCs w:val="22"/>
        </w:rPr>
        <w:t>EXCEPTION 1 to Section 141.0(b)2I</w:t>
      </w:r>
      <w:r w:rsidRPr="001651EF">
        <w:rPr>
          <w:szCs w:val="22"/>
        </w:rPr>
        <w:t xml:space="preserve">. Alteration of portable luminaires, luminaires affixed to moveable partitions, or lighting excluded as specified in Section 140.6(a)3. </w:t>
      </w:r>
    </w:p>
    <w:p w14:paraId="05E0340C" w14:textId="77777777" w:rsidR="001651EF" w:rsidRDefault="001651EF" w:rsidP="001651EF">
      <w:pPr>
        <w:pStyle w:val="ListParagraph"/>
        <w:spacing w:before="60"/>
        <w:ind w:left="360"/>
        <w:contextualSpacing w:val="0"/>
        <w:rPr>
          <w:szCs w:val="22"/>
        </w:rPr>
      </w:pPr>
      <w:r w:rsidRPr="001651EF">
        <w:rPr>
          <w:b/>
          <w:szCs w:val="22"/>
        </w:rPr>
        <w:lastRenderedPageBreak/>
        <w:t>EXCEPTION 2 to Section 141.0(b)2I</w:t>
      </w:r>
      <w:r w:rsidRPr="001651EF">
        <w:rPr>
          <w:szCs w:val="22"/>
        </w:rPr>
        <w:t xml:space="preserve">. In an enclosed space where two or fewer luminaires are replaced or reinstalled. </w:t>
      </w:r>
    </w:p>
    <w:p w14:paraId="3C784A2B" w14:textId="77777777" w:rsidR="001651EF" w:rsidRDefault="001651EF" w:rsidP="001651EF">
      <w:pPr>
        <w:pStyle w:val="ListParagraph"/>
        <w:spacing w:before="60"/>
        <w:ind w:left="360"/>
        <w:contextualSpacing w:val="0"/>
        <w:rPr>
          <w:szCs w:val="22"/>
        </w:rPr>
      </w:pPr>
      <w:r w:rsidRPr="001651EF">
        <w:rPr>
          <w:b/>
          <w:szCs w:val="22"/>
        </w:rPr>
        <w:t>EXCEPTION 3 to Section 141.0(b)2I</w:t>
      </w:r>
      <w:r w:rsidRPr="001651EF">
        <w:rPr>
          <w:szCs w:val="22"/>
        </w:rPr>
        <w:t xml:space="preserve">. Alterations that would directly cause the disturbance of asbestos, unless the alterations are made in conjunction with asbestos abatement. </w:t>
      </w:r>
    </w:p>
    <w:p w14:paraId="6F21EE42" w14:textId="7ED13F5A" w:rsidR="006B3254" w:rsidRPr="001651EF" w:rsidRDefault="001651EF" w:rsidP="001651EF">
      <w:pPr>
        <w:pStyle w:val="ListParagraph"/>
        <w:spacing w:before="60"/>
        <w:ind w:left="360"/>
        <w:contextualSpacing w:val="0"/>
        <w:rPr>
          <w:szCs w:val="22"/>
        </w:rPr>
      </w:pPr>
      <w:r w:rsidRPr="001651EF">
        <w:rPr>
          <w:b/>
          <w:szCs w:val="22"/>
        </w:rPr>
        <w:t>EXCEPTION 4 to Section 141.0(b)2I</w:t>
      </w:r>
      <w:r w:rsidRPr="001651EF">
        <w:rPr>
          <w:szCs w:val="22"/>
        </w:rPr>
        <w:t>. Acceptance testing requirements of Section 130.4 are not required for alterations where lighting controls are added to control 20 or fewer luminaires.</w:t>
      </w:r>
    </w:p>
    <w:p w14:paraId="5E571B7B" w14:textId="77777777" w:rsidR="001651EF" w:rsidRPr="001651EF" w:rsidRDefault="001651EF" w:rsidP="006B3254">
      <w:pPr>
        <w:rPr>
          <w:rFonts w:cstheme="minorHAnsi"/>
          <w:szCs w:val="22"/>
        </w:rPr>
      </w:pPr>
    </w:p>
    <w:p w14:paraId="03BE4308" w14:textId="1B4BC97C" w:rsidR="006B3254" w:rsidRPr="008B1155" w:rsidRDefault="006B3254" w:rsidP="006B3254">
      <w:pPr>
        <w:rPr>
          <w:rFonts w:cstheme="minorHAnsi"/>
          <w:szCs w:val="22"/>
        </w:rPr>
      </w:pPr>
      <w:r w:rsidRPr="001651EF">
        <w:rPr>
          <w:rFonts w:cstheme="minorHAnsi"/>
          <w:szCs w:val="22"/>
        </w:rPr>
        <w:t>Title 20 2015 Appliance Efficiency Regulations [493] include an Energy Efficiency Standard for Metal</w:t>
      </w:r>
      <w:r w:rsidRPr="008B1155">
        <w:rPr>
          <w:rFonts w:cstheme="minorHAnsi"/>
          <w:szCs w:val="22"/>
        </w:rPr>
        <w:t xml:space="preserve"> Halide Luminaires.  Probe-start ballasts metal halide luminaires rated at least partially within the range of 150 to 500 watts are not eligible. Additionally, metal halide luminaires that are not probe-start ballasts must comply with Section 1605.3(n)(2)(A) and 1605.3(n)(2)(B) as applicable.</w:t>
      </w:r>
    </w:p>
    <w:p w14:paraId="351E307F" w14:textId="77777777" w:rsidR="006B3254" w:rsidRDefault="006B3254" w:rsidP="006B3254">
      <w:pPr>
        <w:rPr>
          <w:rFonts w:cstheme="minorHAnsi"/>
          <w:szCs w:val="22"/>
        </w:rPr>
      </w:pPr>
    </w:p>
    <w:p w14:paraId="62374084" w14:textId="7FA6CE55" w:rsidR="006B3254" w:rsidRDefault="006B3254" w:rsidP="006B3254">
      <w:pPr>
        <w:rPr>
          <w:rFonts w:cstheme="minorHAnsi"/>
          <w:szCs w:val="22"/>
        </w:rPr>
      </w:pPr>
      <w:r w:rsidRPr="00867D5D">
        <w:rPr>
          <w:rFonts w:cstheme="minorHAnsi"/>
          <w:szCs w:val="22"/>
        </w:rPr>
        <w:t>Effective July 14th, 2012, multiple T12 lamp types will be impacted by the new US Department of Energy standards set for general service fluorescent lamps. Accordingly, T12 fixtures are being phased out as an eligible baseline lighting technology for the purpose of calculating energy saving</w:t>
      </w:r>
      <w:r>
        <w:rPr>
          <w:rFonts w:cstheme="minorHAnsi"/>
          <w:szCs w:val="22"/>
        </w:rPr>
        <w:t>s for lighting retrofit projects</w:t>
      </w:r>
      <w:r w:rsidRPr="00867D5D">
        <w:rPr>
          <w:rFonts w:cstheme="minorHAnsi"/>
          <w:szCs w:val="22"/>
        </w:rPr>
        <w:t xml:space="preserve">. In accordance with this requirement, all T12 fixtures are not eligible as Base Case for this measure.  </w:t>
      </w:r>
    </w:p>
    <w:p w14:paraId="3D469362" w14:textId="77777777" w:rsidR="001651EF" w:rsidRPr="00867D5D" w:rsidRDefault="001651EF" w:rsidP="006B3254">
      <w:pPr>
        <w:rPr>
          <w:rFonts w:cstheme="minorHAns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1C3DA9">
        <w:tc>
          <w:tcPr>
            <w:tcW w:w="1155" w:type="pct"/>
            <w:shd w:val="clear" w:color="auto" w:fill="D9D9D9" w:themeFill="background1" w:themeFillShade="D9"/>
          </w:tcPr>
          <w:p w14:paraId="20C3C2B4" w14:textId="77777777" w:rsidR="00881A42" w:rsidRPr="00920905" w:rsidRDefault="00881A42" w:rsidP="001C3DA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rsidP="001C3DA9">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1C3DA9">
            <w:pPr>
              <w:rPr>
                <w:rFonts w:cstheme="minorHAnsi"/>
                <w:b/>
                <w:szCs w:val="20"/>
              </w:rPr>
            </w:pPr>
            <w:r w:rsidRPr="00920905">
              <w:rPr>
                <w:rFonts w:cstheme="minorHAnsi"/>
                <w:b/>
                <w:szCs w:val="20"/>
              </w:rPr>
              <w:t>Effective Date</w:t>
            </w:r>
            <w:r w:rsidR="00CB04D2">
              <w:rPr>
                <w:rFonts w:cstheme="minorHAnsi"/>
                <w:b/>
                <w:szCs w:val="20"/>
              </w:rPr>
              <w:t>s</w:t>
            </w:r>
          </w:p>
        </w:tc>
      </w:tr>
      <w:tr w:rsidR="006B3254" w:rsidRPr="00500C4E" w14:paraId="41E6B4DA" w14:textId="77777777" w:rsidTr="001C3DA9">
        <w:trPr>
          <w:trHeight w:val="243"/>
        </w:trPr>
        <w:tc>
          <w:tcPr>
            <w:tcW w:w="1155" w:type="pct"/>
          </w:tcPr>
          <w:p w14:paraId="16A44F28" w14:textId="269C3E74" w:rsidR="006B3254" w:rsidRPr="00500C4E" w:rsidRDefault="006B3254" w:rsidP="001C3DA9">
            <w:pPr>
              <w:rPr>
                <w:rFonts w:cstheme="minorHAnsi"/>
                <w:szCs w:val="20"/>
              </w:rPr>
            </w:pPr>
            <w:r w:rsidRPr="00DC2AA2">
              <w:rPr>
                <w:rFonts w:cstheme="minorHAnsi"/>
                <w:szCs w:val="20"/>
              </w:rPr>
              <w:t>Title 24 (201</w:t>
            </w:r>
            <w:r w:rsidR="007F4AD2">
              <w:rPr>
                <w:rFonts w:cstheme="minorHAnsi"/>
                <w:szCs w:val="20"/>
              </w:rPr>
              <w:t>6</w:t>
            </w:r>
            <w:r w:rsidRPr="00DC2AA2">
              <w:rPr>
                <w:rFonts w:cstheme="minorHAnsi"/>
                <w:szCs w:val="20"/>
              </w:rPr>
              <w:t>)</w:t>
            </w:r>
          </w:p>
        </w:tc>
        <w:tc>
          <w:tcPr>
            <w:tcW w:w="2711" w:type="pct"/>
          </w:tcPr>
          <w:p w14:paraId="387D6828" w14:textId="66040BE2" w:rsidR="006B3254" w:rsidRPr="00500C4E" w:rsidRDefault="006B3254" w:rsidP="001C3DA9">
            <w:pPr>
              <w:rPr>
                <w:rFonts w:cstheme="minorHAnsi"/>
                <w:color w:val="FF0000"/>
                <w:szCs w:val="20"/>
              </w:rPr>
            </w:pPr>
            <w:r w:rsidRPr="00E63A0B">
              <w:rPr>
                <w:rFonts w:cstheme="minorHAnsi"/>
                <w:szCs w:val="20"/>
              </w:rPr>
              <w:t>2</w:t>
            </w:r>
            <w:r>
              <w:rPr>
                <w:rFonts w:cstheme="minorHAnsi"/>
                <w:szCs w:val="20"/>
              </w:rPr>
              <w:t>01</w:t>
            </w:r>
            <w:r w:rsidR="007F4AD2">
              <w:rPr>
                <w:rFonts w:cstheme="minorHAnsi"/>
                <w:szCs w:val="20"/>
              </w:rPr>
              <w:t>6</w:t>
            </w:r>
            <w:r w:rsidRPr="00E63A0B">
              <w:rPr>
                <w:rFonts w:cstheme="minorHAnsi"/>
                <w:szCs w:val="20"/>
              </w:rPr>
              <w:t xml:space="preserve"> </w:t>
            </w:r>
            <w:r>
              <w:rPr>
                <w:rFonts w:cstheme="minorHAnsi"/>
                <w:szCs w:val="20"/>
              </w:rPr>
              <w:t>Building Energy Efficiency Standards</w:t>
            </w:r>
            <w:r w:rsidR="003B3C01">
              <w:rPr>
                <w:rFonts w:cstheme="minorHAnsi"/>
                <w:szCs w:val="20"/>
              </w:rPr>
              <w:t xml:space="preserve"> for Residential and Non-Residential Buildings, </w:t>
            </w:r>
            <w:r w:rsidRPr="001651EF">
              <w:rPr>
                <w:rFonts w:cstheme="minorHAnsi"/>
                <w:szCs w:val="20"/>
              </w:rPr>
              <w:t xml:space="preserve">Section </w:t>
            </w:r>
            <w:r w:rsidR="001651EF">
              <w:rPr>
                <w:rFonts w:cstheme="minorHAnsi"/>
                <w:szCs w:val="20"/>
              </w:rPr>
              <w:t>141.0(b)2I</w:t>
            </w:r>
          </w:p>
        </w:tc>
        <w:tc>
          <w:tcPr>
            <w:tcW w:w="1134" w:type="pct"/>
          </w:tcPr>
          <w:p w14:paraId="3E1189F8" w14:textId="169E74EF" w:rsidR="006B3254" w:rsidRPr="00500C4E" w:rsidRDefault="006B3254" w:rsidP="001C3DA9">
            <w:pPr>
              <w:rPr>
                <w:rFonts w:cstheme="minorHAnsi"/>
                <w:color w:val="FF0000"/>
                <w:szCs w:val="20"/>
              </w:rPr>
            </w:pPr>
            <w:r>
              <w:rPr>
                <w:rFonts w:cstheme="minorHAnsi"/>
                <w:szCs w:val="20"/>
              </w:rPr>
              <w:t>J</w:t>
            </w:r>
            <w:r w:rsidR="003B3C01">
              <w:rPr>
                <w:rFonts w:cstheme="minorHAnsi"/>
                <w:szCs w:val="20"/>
              </w:rPr>
              <w:t>anuary</w:t>
            </w:r>
            <w:r>
              <w:rPr>
                <w:rFonts w:cstheme="minorHAnsi"/>
                <w:szCs w:val="20"/>
              </w:rPr>
              <w:t xml:space="preserve"> 1, 201</w:t>
            </w:r>
            <w:r w:rsidR="003B3C01">
              <w:rPr>
                <w:rFonts w:cstheme="minorHAnsi"/>
                <w:szCs w:val="20"/>
              </w:rPr>
              <w:t>7</w:t>
            </w:r>
          </w:p>
        </w:tc>
      </w:tr>
      <w:tr w:rsidR="006B3254" w:rsidRPr="00500C4E" w14:paraId="55950BED" w14:textId="77777777" w:rsidTr="001C3DA9">
        <w:trPr>
          <w:trHeight w:val="243"/>
        </w:trPr>
        <w:tc>
          <w:tcPr>
            <w:tcW w:w="1155" w:type="pct"/>
          </w:tcPr>
          <w:p w14:paraId="4AB4ED28" w14:textId="3EA1E600" w:rsidR="006B3254" w:rsidRPr="00500C4E" w:rsidRDefault="006B3254" w:rsidP="001C3DA9">
            <w:pPr>
              <w:rPr>
                <w:rFonts w:cstheme="minorHAnsi"/>
                <w:szCs w:val="20"/>
              </w:rPr>
            </w:pPr>
            <w:r>
              <w:rPr>
                <w:rFonts w:cstheme="minorHAnsi"/>
                <w:szCs w:val="20"/>
              </w:rPr>
              <w:t>Title 20 (2015</w:t>
            </w:r>
            <w:r w:rsidRPr="00DC2AA2">
              <w:rPr>
                <w:rFonts w:cstheme="minorHAnsi"/>
                <w:szCs w:val="20"/>
              </w:rPr>
              <w:t>)</w:t>
            </w:r>
          </w:p>
        </w:tc>
        <w:tc>
          <w:tcPr>
            <w:tcW w:w="2711" w:type="pct"/>
          </w:tcPr>
          <w:p w14:paraId="19FAE8D5" w14:textId="21983BB5" w:rsidR="006B3254" w:rsidRPr="00500C4E" w:rsidRDefault="006B3254" w:rsidP="001C3DA9">
            <w:pPr>
              <w:rPr>
                <w:rFonts w:cstheme="minorHAnsi"/>
                <w:color w:val="FF0000"/>
                <w:szCs w:val="20"/>
              </w:rPr>
            </w:pPr>
            <w:r w:rsidRPr="00E63A0B">
              <w:rPr>
                <w:rFonts w:cstheme="minorHAnsi"/>
                <w:szCs w:val="20"/>
              </w:rPr>
              <w:t>Table K-</w:t>
            </w:r>
            <w:r>
              <w:rPr>
                <w:rFonts w:cstheme="minorHAnsi"/>
                <w:szCs w:val="20"/>
              </w:rPr>
              <w:t>5</w:t>
            </w:r>
            <w:r w:rsidRPr="00E63A0B">
              <w:rPr>
                <w:rFonts w:cstheme="minorHAnsi"/>
                <w:szCs w:val="20"/>
              </w:rPr>
              <w:t xml:space="preserve"> Standards for </w:t>
            </w:r>
            <w:r>
              <w:rPr>
                <w:rFonts w:cstheme="minorHAnsi"/>
                <w:szCs w:val="20"/>
              </w:rPr>
              <w:t>Medium Base Compact Fluorescent</w:t>
            </w:r>
            <w:r w:rsidRPr="00E63A0B">
              <w:rPr>
                <w:rFonts w:cstheme="minorHAnsi"/>
                <w:szCs w:val="20"/>
              </w:rPr>
              <w:t xml:space="preserve"> Lamps</w:t>
            </w:r>
          </w:p>
        </w:tc>
        <w:tc>
          <w:tcPr>
            <w:tcW w:w="1134" w:type="pct"/>
          </w:tcPr>
          <w:p w14:paraId="49C2E9ED" w14:textId="25340F8E" w:rsidR="006B3254" w:rsidRPr="00500C4E" w:rsidRDefault="006B3254" w:rsidP="001C3DA9">
            <w:pPr>
              <w:rPr>
                <w:rFonts w:cstheme="minorHAnsi"/>
                <w:color w:val="FF0000"/>
                <w:szCs w:val="20"/>
              </w:rPr>
            </w:pPr>
            <w:r>
              <w:rPr>
                <w:rFonts w:cstheme="minorHAnsi"/>
                <w:szCs w:val="20"/>
              </w:rPr>
              <w:t>January 1, 201</w:t>
            </w:r>
            <w:r w:rsidR="003B3C01">
              <w:rPr>
                <w:rFonts w:cstheme="minorHAnsi"/>
                <w:szCs w:val="20"/>
              </w:rPr>
              <w:t>5</w:t>
            </w:r>
          </w:p>
        </w:tc>
      </w:tr>
    </w:tbl>
    <w:p w14:paraId="658749F7" w14:textId="6B8A7A0D" w:rsidR="00572D2F" w:rsidRPr="00920905" w:rsidRDefault="00572D2F" w:rsidP="00920905">
      <w:pPr>
        <w:pStyle w:val="Heading2"/>
        <w:rPr>
          <w:rFonts w:cstheme="minorHAnsi"/>
          <w:b w:val="0"/>
          <w:bCs w:val="0"/>
          <w:iCs w:val="0"/>
          <w:smallCaps w:val="0"/>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6583458E" w14:textId="77777777" w:rsidR="006B3254" w:rsidRPr="00395257" w:rsidRDefault="006B3254" w:rsidP="006B3254">
      <w:pPr>
        <w:pStyle w:val="NoSpacing"/>
      </w:pPr>
      <w:r w:rsidRPr="00395257">
        <w:t>The DEER READI tool and the WO17 study</w:t>
      </w:r>
      <w:r>
        <w:t xml:space="preserve"> [475]</w:t>
      </w:r>
      <w:r w:rsidRPr="00395257">
        <w:t xml:space="preserve"> were consulted for th</w:t>
      </w:r>
      <w:r>
        <w:t>e values used in this workpaper, and</w:t>
      </w:r>
      <w:r w:rsidRPr="00395257">
        <w:t xml:space="preserve"> </w:t>
      </w:r>
      <w:r>
        <w:t>there are no applicable non-DEER studies associated with this workpaper.</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24E08B91" w14:textId="77777777" w:rsidR="006B3254" w:rsidRPr="003B4B79" w:rsidRDefault="006B3254" w:rsidP="006B3254">
      <w:pPr>
        <w:rPr>
          <w:rFonts w:cs="Arial"/>
          <w:szCs w:val="22"/>
        </w:rPr>
      </w:pPr>
      <w:r w:rsidRPr="003B4B79">
        <w:rPr>
          <w:rFonts w:cs="Arial"/>
          <w:szCs w:val="22"/>
        </w:rPr>
        <w:t>The savings</w:t>
      </w:r>
      <w:r>
        <w:rPr>
          <w:rFonts w:cs="Arial"/>
          <w:szCs w:val="22"/>
        </w:rPr>
        <w:t xml:space="preserve"> and other </w:t>
      </w:r>
      <w:r w:rsidRPr="00395257">
        <w:rPr>
          <w:rFonts w:cs="Arial"/>
          <w:szCs w:val="22"/>
        </w:rPr>
        <w:t>values</w:t>
      </w:r>
      <w:r>
        <w:rPr>
          <w:rFonts w:cs="Arial"/>
          <w:szCs w:val="22"/>
        </w:rPr>
        <w:t xml:space="preserve"> such as NTG, EUL, and GSIA values</w:t>
      </w:r>
      <w:r w:rsidRPr="003B4B79">
        <w:rPr>
          <w:rFonts w:cs="Arial"/>
          <w:szCs w:val="22"/>
        </w:rPr>
        <w:t xml:space="preserve"> for this workpaper are down</w:t>
      </w:r>
      <w:r>
        <w:rPr>
          <w:rFonts w:cs="Arial"/>
          <w:szCs w:val="22"/>
        </w:rPr>
        <w:t>loaded from the DEER READI tool,</w:t>
      </w:r>
      <w:r w:rsidRPr="003B4B79">
        <w:rPr>
          <w:rFonts w:cs="Arial"/>
          <w:szCs w:val="22"/>
        </w:rPr>
        <w:t xml:space="preserve"> </w:t>
      </w:r>
      <w:r>
        <w:rPr>
          <w:rFonts w:cs="Arial"/>
          <w:szCs w:val="22"/>
        </w:rPr>
        <w:t>and the Work Order 17 – the Ex Ante Measure Cost Study is utilized for the costs.</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4FF43F68" w14:textId="77777777" w:rsidR="006B3254" w:rsidRPr="00565775" w:rsidRDefault="006B3254" w:rsidP="006B3254">
      <w:pPr>
        <w:pStyle w:val="Reminders"/>
        <w:rPr>
          <w:rFonts w:asciiTheme="minorHAnsi" w:hAnsiTheme="minorHAnsi" w:cstheme="minorHAnsi"/>
          <w:i w:val="0"/>
          <w:color w:val="auto"/>
          <w:szCs w:val="22"/>
        </w:rPr>
      </w:pPr>
      <w:r w:rsidRPr="00565775">
        <w:rPr>
          <w:rFonts w:asciiTheme="minorHAnsi" w:hAnsiTheme="minorHAnsi" w:cstheme="minorHAnsi"/>
          <w:i w:val="0"/>
          <w:color w:val="auto"/>
          <w:szCs w:val="22"/>
        </w:rPr>
        <w:t>These results have not been modified and are being included in the workpaper for reference.</w:t>
      </w:r>
    </w:p>
    <w:p w14:paraId="38F5F495" w14:textId="77777777" w:rsidR="006B3254" w:rsidRDefault="006B3254" w:rsidP="00920905">
      <w:pPr>
        <w:pStyle w:val="Reminders"/>
        <w:rPr>
          <w:rFonts w:asciiTheme="minorHAnsi" w:hAnsiTheme="minorHAnsi" w:cstheme="minorHAnsi"/>
          <w:i w:val="0"/>
          <w:color w:val="auto"/>
          <w:szCs w:val="22"/>
        </w:rPr>
      </w:pPr>
    </w:p>
    <w:p w14:paraId="44A49FAB" w14:textId="6139989D" w:rsidR="00274FBE" w:rsidRDefault="00C72CB5" w:rsidP="00920905">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 xml:space="preserve">The following table </w:t>
      </w:r>
      <w:r w:rsidR="00C20E7B">
        <w:rPr>
          <w:rFonts w:asciiTheme="minorHAnsi" w:hAnsiTheme="minorHAnsi" w:cstheme="minorHAnsi"/>
          <w:i w:val="0"/>
          <w:color w:val="auto"/>
          <w:szCs w:val="22"/>
        </w:rPr>
        <w:t>indicates which</w:t>
      </w:r>
      <w:r w:rsidR="001F05CE" w:rsidRPr="00500C4E">
        <w:rPr>
          <w:rFonts w:asciiTheme="minorHAnsi" w:hAnsiTheme="minorHAnsi" w:cstheme="minorHAnsi"/>
          <w:i w:val="0"/>
          <w:color w:val="auto"/>
          <w:szCs w:val="22"/>
        </w:rPr>
        <w:t xml:space="preserve"> measures</w:t>
      </w:r>
      <w:r w:rsidR="00C20E7B">
        <w:rPr>
          <w:rFonts w:asciiTheme="minorHAnsi" w:hAnsiTheme="minorHAnsi" w:cstheme="minorHAnsi"/>
          <w:i w:val="0"/>
          <w:color w:val="auto"/>
          <w:szCs w:val="22"/>
        </w:rPr>
        <w:t xml:space="preserve"> are</w:t>
      </w:r>
      <w:r w:rsidR="001F05CE" w:rsidRPr="00500C4E">
        <w:rPr>
          <w:rFonts w:asciiTheme="minorHAnsi" w:hAnsiTheme="minorHAnsi" w:cstheme="minorHAnsi"/>
          <w:i w:val="0"/>
          <w:color w:val="auto"/>
          <w:szCs w:val="22"/>
        </w:rPr>
        <w:t xml:space="preserve"> taken directly from</w:t>
      </w:r>
      <w:r w:rsidRPr="00500C4E">
        <w:rPr>
          <w:rFonts w:asciiTheme="minorHAnsi" w:hAnsiTheme="minorHAnsi" w:cstheme="minorHAnsi"/>
          <w:i w:val="0"/>
          <w:color w:val="auto"/>
          <w:szCs w:val="22"/>
        </w:rPr>
        <w:t xml:space="preserve"> or created with the</w:t>
      </w:r>
      <w:r w:rsidR="00BA2E7E" w:rsidRPr="00500C4E">
        <w:rPr>
          <w:rFonts w:asciiTheme="minorHAnsi" w:hAnsiTheme="minorHAnsi" w:cstheme="minorHAnsi"/>
          <w:i w:val="0"/>
          <w:color w:val="auto"/>
          <w:szCs w:val="22"/>
        </w:rPr>
        <w:t xml:space="preserve"> DEER READI </w:t>
      </w:r>
      <w:r w:rsidR="00C20E7B">
        <w:rPr>
          <w:rFonts w:asciiTheme="minorHAnsi" w:hAnsiTheme="minorHAnsi" w:cstheme="minorHAnsi"/>
          <w:i w:val="0"/>
          <w:color w:val="auto"/>
          <w:szCs w:val="22"/>
        </w:rPr>
        <w:t>t</w:t>
      </w:r>
      <w:r w:rsidR="001F05CE" w:rsidRPr="00500C4E">
        <w:rPr>
          <w:rFonts w:asciiTheme="minorHAnsi" w:hAnsiTheme="minorHAnsi" w:cstheme="minorHAnsi"/>
          <w:i w:val="0"/>
          <w:color w:val="auto"/>
          <w:szCs w:val="22"/>
        </w:rPr>
        <w:t>ool.</w:t>
      </w:r>
    </w:p>
    <w:p w14:paraId="4E99EEA3" w14:textId="77777777" w:rsidR="00207BE0" w:rsidRDefault="00207BE0" w:rsidP="00920905">
      <w:pPr>
        <w:pStyle w:val="Reminders"/>
        <w:rPr>
          <w:rFonts w:asciiTheme="minorHAnsi" w:hAnsiTheme="minorHAnsi" w:cstheme="minorHAnsi"/>
          <w:i w:val="0"/>
          <w:color w:val="auto"/>
          <w:szCs w:val="22"/>
        </w:rPr>
      </w:pPr>
    </w:p>
    <w:p w14:paraId="0264BAA9" w14:textId="77777777" w:rsidR="00207BE0" w:rsidRDefault="00207BE0" w:rsidP="00920905">
      <w:pPr>
        <w:pStyle w:val="Reminders"/>
        <w:rPr>
          <w:rFonts w:asciiTheme="minorHAnsi" w:hAnsiTheme="minorHAnsi" w:cstheme="minorHAnsi"/>
          <w:i w:val="0"/>
          <w:color w:val="auto"/>
          <w:szCs w:val="22"/>
        </w:rPr>
      </w:pPr>
    </w:p>
    <w:p w14:paraId="6D5997E5" w14:textId="77777777" w:rsidR="00207BE0" w:rsidRDefault="00207BE0" w:rsidP="00920905">
      <w:pPr>
        <w:pStyle w:val="Reminders"/>
        <w:rPr>
          <w:rFonts w:asciiTheme="minorHAnsi" w:hAnsiTheme="minorHAnsi" w:cstheme="minorHAnsi"/>
          <w:i w:val="0"/>
          <w:color w:val="auto"/>
          <w:szCs w:val="22"/>
        </w:rPr>
      </w:pPr>
    </w:p>
    <w:p w14:paraId="2125165F" w14:textId="77777777" w:rsidR="00207BE0" w:rsidRDefault="00207BE0" w:rsidP="00920905">
      <w:pPr>
        <w:pStyle w:val="Reminders"/>
        <w:rPr>
          <w:rFonts w:asciiTheme="minorHAnsi" w:hAnsiTheme="minorHAnsi" w:cstheme="minorHAnsi"/>
          <w:i w:val="0"/>
          <w:color w:val="auto"/>
          <w:szCs w:val="22"/>
        </w:rPr>
      </w:pPr>
    </w:p>
    <w:p w14:paraId="26D7ED64" w14:textId="77777777" w:rsidR="00207BE0" w:rsidRDefault="00207BE0" w:rsidP="00920905">
      <w:pPr>
        <w:pStyle w:val="Reminders"/>
        <w:rPr>
          <w:rFonts w:asciiTheme="minorHAnsi" w:hAnsiTheme="minorHAnsi" w:cstheme="minorHAnsi"/>
          <w:i w:val="0"/>
          <w:color w:val="auto"/>
          <w:szCs w:val="22"/>
        </w:rPr>
      </w:pPr>
    </w:p>
    <w:p w14:paraId="44BAD59E" w14:textId="77777777" w:rsidR="00207BE0" w:rsidRDefault="00207BE0" w:rsidP="00920905">
      <w:pPr>
        <w:pStyle w:val="Reminders"/>
        <w:rPr>
          <w:rFonts w:asciiTheme="minorHAnsi" w:hAnsiTheme="minorHAnsi" w:cstheme="minorHAnsi"/>
          <w:i w:val="0"/>
          <w:color w:val="auto"/>
          <w:szCs w:val="22"/>
        </w:rPr>
      </w:pPr>
    </w:p>
    <w:p w14:paraId="4EA1E264" w14:textId="77777777" w:rsidR="00207BE0" w:rsidRDefault="00207BE0" w:rsidP="00920905">
      <w:pPr>
        <w:pStyle w:val="Reminders"/>
        <w:rPr>
          <w:rFonts w:asciiTheme="minorHAnsi" w:hAnsiTheme="minorHAnsi" w:cstheme="minorHAnsi"/>
          <w:i w:val="0"/>
          <w:color w:val="auto"/>
          <w:szCs w:val="22"/>
        </w:rPr>
      </w:pPr>
    </w:p>
    <w:p w14:paraId="337707EC" w14:textId="77777777" w:rsidR="00207BE0" w:rsidRDefault="00207BE0" w:rsidP="00920905">
      <w:pPr>
        <w:pStyle w:val="Reminders"/>
        <w:rPr>
          <w:rFonts w:asciiTheme="minorHAnsi" w:hAnsiTheme="minorHAnsi" w:cstheme="minorHAnsi"/>
          <w:i w:val="0"/>
          <w:color w:val="auto"/>
          <w:szCs w:val="22"/>
        </w:rPr>
      </w:pPr>
    </w:p>
    <w:p w14:paraId="7877AA4B" w14:textId="77777777" w:rsidR="00207BE0" w:rsidRPr="00500C4E" w:rsidRDefault="00207BE0" w:rsidP="00920905">
      <w:pPr>
        <w:pStyle w:val="Reminders"/>
        <w:rPr>
          <w:rFonts w:asciiTheme="minorHAnsi" w:hAnsiTheme="minorHAnsi" w:cstheme="minorHAnsi"/>
          <w:i w:val="0"/>
          <w:szCs w:val="22"/>
        </w:rPr>
      </w:pPr>
    </w:p>
    <w:p w14:paraId="3DE47B47" w14:textId="06C86827" w:rsidR="00382774" w:rsidRPr="00A26FE0" w:rsidRDefault="001F05CE" w:rsidP="00A26FE0">
      <w:pPr>
        <w:pStyle w:val="Caption"/>
        <w:keepNext/>
        <w:rPr>
          <w:rFonts w:cstheme="minorHAnsi"/>
          <w:szCs w:val="22"/>
        </w:rPr>
      </w:pPr>
      <w:r w:rsidRPr="00500C4E">
        <w:rPr>
          <w:rFonts w:cstheme="minorHAnsi"/>
          <w:szCs w:val="22"/>
        </w:rPr>
        <w:t>READ</w:t>
      </w:r>
      <w:r w:rsidR="00AC0B1D" w:rsidRPr="00500C4E">
        <w:rPr>
          <w:rFonts w:cstheme="minorHAnsi"/>
          <w:szCs w:val="22"/>
        </w:rPr>
        <w:t>I</w:t>
      </w:r>
      <w:r w:rsidR="00C20E7B">
        <w:rPr>
          <w:rFonts w:cstheme="minorHAnsi"/>
          <w:szCs w:val="22"/>
        </w:rPr>
        <w:t xml:space="preserve"> Data Used</w:t>
      </w:r>
    </w:p>
    <w:tbl>
      <w:tblPr>
        <w:tblStyle w:val="TableGrid1"/>
        <w:tblW w:w="4096" w:type="pct"/>
        <w:tblLook w:val="01E0" w:firstRow="1" w:lastRow="1" w:firstColumn="1" w:lastColumn="1" w:noHBand="0" w:noVBand="0"/>
      </w:tblPr>
      <w:tblGrid>
        <w:gridCol w:w="1606"/>
        <w:gridCol w:w="4508"/>
        <w:gridCol w:w="1731"/>
      </w:tblGrid>
      <w:tr w:rsidR="00B80979" w:rsidRPr="00500C4E" w14:paraId="6CA57487" w14:textId="535B7932" w:rsidTr="00B80979">
        <w:tc>
          <w:tcPr>
            <w:tcW w:w="1024" w:type="pct"/>
            <w:shd w:val="clear" w:color="auto" w:fill="D9D9D9" w:themeFill="background1" w:themeFillShade="D9"/>
          </w:tcPr>
          <w:p w14:paraId="0CD3751B" w14:textId="77777777" w:rsidR="00B80979" w:rsidRPr="00920905" w:rsidRDefault="00B80979" w:rsidP="001C3DA9">
            <w:pPr>
              <w:rPr>
                <w:rFonts w:cstheme="minorHAnsi"/>
                <w:b/>
                <w:szCs w:val="20"/>
              </w:rPr>
            </w:pPr>
            <w:r w:rsidRPr="00920905">
              <w:rPr>
                <w:rFonts w:cstheme="minorHAnsi"/>
                <w:b/>
                <w:szCs w:val="20"/>
              </w:rPr>
              <w:t>Measure Code</w:t>
            </w:r>
          </w:p>
        </w:tc>
        <w:tc>
          <w:tcPr>
            <w:tcW w:w="2873" w:type="pct"/>
            <w:shd w:val="clear" w:color="auto" w:fill="D9D9D9" w:themeFill="background1" w:themeFillShade="D9"/>
          </w:tcPr>
          <w:p w14:paraId="27403725" w14:textId="77777777" w:rsidR="00B80979" w:rsidRPr="00920905" w:rsidRDefault="00B80979" w:rsidP="001C3DA9">
            <w:pPr>
              <w:rPr>
                <w:rFonts w:cstheme="minorHAnsi"/>
                <w:b/>
                <w:szCs w:val="20"/>
              </w:rPr>
            </w:pPr>
            <w:r w:rsidRPr="00920905">
              <w:rPr>
                <w:rFonts w:cstheme="minorHAnsi"/>
                <w:b/>
                <w:szCs w:val="20"/>
              </w:rPr>
              <w:t>Measure Name</w:t>
            </w:r>
          </w:p>
        </w:tc>
        <w:tc>
          <w:tcPr>
            <w:tcW w:w="1103" w:type="pct"/>
            <w:shd w:val="clear" w:color="auto" w:fill="D9D9D9" w:themeFill="background1" w:themeFillShade="D9"/>
          </w:tcPr>
          <w:p w14:paraId="659051F8" w14:textId="77777777" w:rsidR="00B80979" w:rsidRPr="00920905" w:rsidRDefault="00B80979" w:rsidP="001C3DA9">
            <w:pPr>
              <w:rPr>
                <w:rFonts w:cstheme="minorHAnsi"/>
                <w:b/>
                <w:szCs w:val="20"/>
                <w:highlight w:val="yellow"/>
              </w:rPr>
            </w:pPr>
            <w:r w:rsidRPr="00920905">
              <w:rPr>
                <w:rFonts w:cstheme="minorHAnsi"/>
                <w:b/>
                <w:szCs w:val="20"/>
              </w:rPr>
              <w:t xml:space="preserve">READI </w:t>
            </w:r>
            <w:r>
              <w:rPr>
                <w:rFonts w:cstheme="minorHAnsi"/>
                <w:b/>
                <w:szCs w:val="20"/>
              </w:rPr>
              <w:t>Data</w:t>
            </w:r>
          </w:p>
        </w:tc>
      </w:tr>
      <w:tr w:rsidR="00B80979" w:rsidRPr="00500C4E" w14:paraId="7BEAE04F" w14:textId="3B906F8A" w:rsidTr="00B80979">
        <w:tc>
          <w:tcPr>
            <w:tcW w:w="1024" w:type="pct"/>
          </w:tcPr>
          <w:p w14:paraId="22744C4A" w14:textId="77777777" w:rsidR="00B80979" w:rsidRPr="00920905" w:rsidRDefault="00B80979" w:rsidP="001C3DA9">
            <w:pPr>
              <w:rPr>
                <w:rFonts w:cstheme="minorHAnsi"/>
                <w:color w:val="FF0000"/>
                <w:szCs w:val="20"/>
              </w:rPr>
            </w:pPr>
            <w:r>
              <w:rPr>
                <w:rFonts w:ascii="Calibri" w:hAnsi="Calibri" w:cs="Calibri"/>
                <w:color w:val="000000"/>
                <w:szCs w:val="20"/>
              </w:rPr>
              <w:t>LT-41199</w:t>
            </w:r>
          </w:p>
        </w:tc>
        <w:tc>
          <w:tcPr>
            <w:tcW w:w="2873" w:type="pct"/>
          </w:tcPr>
          <w:p w14:paraId="629F866D" w14:textId="77777777" w:rsidR="00B80979" w:rsidRPr="00920905" w:rsidRDefault="00B80979" w:rsidP="001C3DA9">
            <w:pPr>
              <w:rPr>
                <w:rFonts w:cstheme="minorHAnsi"/>
                <w:color w:val="FF0000"/>
                <w:szCs w:val="20"/>
              </w:rPr>
            </w:pPr>
            <w:r w:rsidRPr="005E087B">
              <w:rPr>
                <w:rFonts w:ascii="Calibri" w:hAnsi="Calibri" w:cs="Calibri"/>
                <w:color w:val="000000"/>
                <w:szCs w:val="20"/>
              </w:rPr>
              <w:t>Up to 64 Watt Interior Fixture T5 Linear Fluorescent  replacing less than 100 Watt lamp base case</w:t>
            </w:r>
          </w:p>
        </w:tc>
        <w:tc>
          <w:tcPr>
            <w:tcW w:w="1103" w:type="pct"/>
          </w:tcPr>
          <w:p w14:paraId="1CF4F1BF" w14:textId="77777777" w:rsidR="00B80979" w:rsidRPr="00920905" w:rsidRDefault="00B80979" w:rsidP="001C3DA9">
            <w:pPr>
              <w:rPr>
                <w:rFonts w:cstheme="minorHAnsi"/>
                <w:color w:val="FF0000"/>
                <w:szCs w:val="20"/>
              </w:rPr>
            </w:pPr>
            <w:r w:rsidRPr="005E087B">
              <w:rPr>
                <w:rFonts w:ascii="Calibri" w:hAnsi="Calibri" w:cs="Calibri"/>
                <w:color w:val="000000"/>
                <w:szCs w:val="20"/>
              </w:rPr>
              <w:t>C-In-LFFixt-T5-46in-54w+El-PS-HLO(62w)-dWP66</w:t>
            </w:r>
          </w:p>
        </w:tc>
      </w:tr>
      <w:tr w:rsidR="00B80979" w:rsidRPr="00500C4E" w14:paraId="150EE949" w14:textId="28BB8902" w:rsidTr="00B80979">
        <w:tc>
          <w:tcPr>
            <w:tcW w:w="1024" w:type="pct"/>
          </w:tcPr>
          <w:p w14:paraId="7CAC322D" w14:textId="77777777" w:rsidR="00B80979" w:rsidRPr="00920905" w:rsidRDefault="00B80979" w:rsidP="001C3DA9">
            <w:pPr>
              <w:rPr>
                <w:rFonts w:cstheme="minorHAnsi"/>
                <w:color w:val="FF0000"/>
                <w:szCs w:val="20"/>
              </w:rPr>
            </w:pPr>
            <w:r>
              <w:rPr>
                <w:rFonts w:ascii="Calibri" w:hAnsi="Calibri" w:cs="Calibri"/>
                <w:color w:val="000000"/>
                <w:szCs w:val="20"/>
              </w:rPr>
              <w:t>LT-12866</w:t>
            </w:r>
          </w:p>
        </w:tc>
        <w:tc>
          <w:tcPr>
            <w:tcW w:w="2873" w:type="pct"/>
          </w:tcPr>
          <w:p w14:paraId="750DF5BC" w14:textId="77777777" w:rsidR="00B80979" w:rsidRPr="00920905" w:rsidRDefault="00B80979" w:rsidP="001C3DA9">
            <w:pPr>
              <w:rPr>
                <w:rFonts w:cstheme="minorHAnsi"/>
                <w:color w:val="FF0000"/>
                <w:szCs w:val="20"/>
              </w:rPr>
            </w:pPr>
            <w:r w:rsidRPr="005E087B">
              <w:rPr>
                <w:rFonts w:ascii="Calibri" w:hAnsi="Calibri" w:cs="Calibri"/>
                <w:color w:val="000000"/>
                <w:szCs w:val="20"/>
              </w:rPr>
              <w:t>Up to 128 Watt Interior Fixture T5 Linear Fluorescent  replacing 101 - 175 Watt lamp base case</w:t>
            </w:r>
          </w:p>
        </w:tc>
        <w:tc>
          <w:tcPr>
            <w:tcW w:w="1103" w:type="pct"/>
          </w:tcPr>
          <w:p w14:paraId="33992436" w14:textId="77777777" w:rsidR="00B80979" w:rsidRPr="00920905" w:rsidRDefault="00B80979" w:rsidP="001C3DA9">
            <w:pPr>
              <w:rPr>
                <w:rFonts w:cstheme="minorHAnsi"/>
                <w:color w:val="FF0000"/>
                <w:szCs w:val="20"/>
              </w:rPr>
            </w:pPr>
            <w:r w:rsidRPr="005E087B">
              <w:rPr>
                <w:rFonts w:ascii="Calibri" w:hAnsi="Calibri" w:cs="Calibri"/>
                <w:color w:val="000000"/>
                <w:szCs w:val="20"/>
              </w:rPr>
              <w:t>C-In-LFFixt-T5-46in-54w+El-PS-HLO(117w)-dWP73</w:t>
            </w:r>
          </w:p>
        </w:tc>
      </w:tr>
      <w:tr w:rsidR="00B80979" w:rsidRPr="00500C4E" w14:paraId="01B0635A" w14:textId="0780FBE8" w:rsidTr="00B80979">
        <w:tc>
          <w:tcPr>
            <w:tcW w:w="1024" w:type="pct"/>
          </w:tcPr>
          <w:p w14:paraId="78185BCD" w14:textId="77777777" w:rsidR="00B80979" w:rsidRPr="00920905" w:rsidRDefault="00B80979" w:rsidP="001C3DA9">
            <w:pPr>
              <w:rPr>
                <w:rFonts w:cstheme="minorHAnsi"/>
                <w:color w:val="FF0000"/>
                <w:szCs w:val="20"/>
              </w:rPr>
            </w:pPr>
            <w:r>
              <w:rPr>
                <w:rFonts w:ascii="Calibri" w:hAnsi="Calibri" w:cs="Calibri"/>
                <w:color w:val="000000"/>
                <w:szCs w:val="20"/>
              </w:rPr>
              <w:t>LT-84912</w:t>
            </w:r>
          </w:p>
        </w:tc>
        <w:tc>
          <w:tcPr>
            <w:tcW w:w="2873" w:type="pct"/>
          </w:tcPr>
          <w:p w14:paraId="5986AFD9" w14:textId="77777777" w:rsidR="00B80979" w:rsidRPr="00920905" w:rsidRDefault="00B80979" w:rsidP="001C3DA9">
            <w:pPr>
              <w:rPr>
                <w:rFonts w:cstheme="minorHAnsi"/>
                <w:color w:val="FF0000"/>
                <w:szCs w:val="20"/>
              </w:rPr>
            </w:pPr>
            <w:r w:rsidRPr="005E087B">
              <w:rPr>
                <w:rFonts w:ascii="Calibri" w:hAnsi="Calibri" w:cs="Calibri"/>
                <w:color w:val="000000"/>
                <w:szCs w:val="20"/>
              </w:rPr>
              <w:t>Up to 192 Watt Interior Fixture T5 Linear Fluorescent  replacing 176 - 399 Watt lamp base case</w:t>
            </w:r>
          </w:p>
        </w:tc>
        <w:tc>
          <w:tcPr>
            <w:tcW w:w="1103" w:type="pct"/>
          </w:tcPr>
          <w:p w14:paraId="1F14F2B9" w14:textId="77777777" w:rsidR="00B80979" w:rsidRPr="00920905" w:rsidRDefault="00B80979" w:rsidP="001C3DA9">
            <w:pPr>
              <w:rPr>
                <w:rFonts w:cstheme="minorHAnsi"/>
                <w:color w:val="FF0000"/>
                <w:szCs w:val="20"/>
              </w:rPr>
            </w:pPr>
            <w:r w:rsidRPr="005E087B">
              <w:rPr>
                <w:rFonts w:ascii="Calibri" w:hAnsi="Calibri" w:cs="Calibri"/>
                <w:color w:val="000000"/>
                <w:szCs w:val="20"/>
              </w:rPr>
              <w:t>C-In-LFFixt-T5-46in-54w+El-PS-HLO-1(179w)-dWP116-dWC109</w:t>
            </w:r>
          </w:p>
        </w:tc>
      </w:tr>
      <w:tr w:rsidR="00B80979" w:rsidRPr="00500C4E" w14:paraId="6D2C2239" w14:textId="6825037A" w:rsidTr="00B80979">
        <w:tc>
          <w:tcPr>
            <w:tcW w:w="1024" w:type="pct"/>
          </w:tcPr>
          <w:p w14:paraId="66E01363" w14:textId="77777777" w:rsidR="00B80979" w:rsidRPr="00920905" w:rsidRDefault="00B80979" w:rsidP="001C3DA9">
            <w:pPr>
              <w:rPr>
                <w:rFonts w:cstheme="minorHAnsi"/>
                <w:color w:val="FF0000"/>
                <w:szCs w:val="20"/>
              </w:rPr>
            </w:pPr>
            <w:r>
              <w:rPr>
                <w:rFonts w:ascii="Calibri" w:hAnsi="Calibri" w:cs="Calibri"/>
                <w:color w:val="000000"/>
                <w:szCs w:val="20"/>
              </w:rPr>
              <w:t>LT-26100</w:t>
            </w:r>
          </w:p>
        </w:tc>
        <w:tc>
          <w:tcPr>
            <w:tcW w:w="2873" w:type="pct"/>
          </w:tcPr>
          <w:p w14:paraId="3D54B6CD" w14:textId="77777777" w:rsidR="00B80979" w:rsidRPr="00920905" w:rsidRDefault="00B80979" w:rsidP="001C3DA9">
            <w:pPr>
              <w:rPr>
                <w:rFonts w:cstheme="minorHAnsi"/>
                <w:color w:val="FF0000"/>
                <w:szCs w:val="20"/>
              </w:rPr>
            </w:pPr>
            <w:r w:rsidRPr="005E087B">
              <w:rPr>
                <w:rFonts w:ascii="Calibri" w:hAnsi="Calibri" w:cs="Calibri"/>
                <w:color w:val="000000"/>
                <w:szCs w:val="20"/>
              </w:rPr>
              <w:t>Up to 244 Watt (Tier 1) Interior Fixture T5 Linear Fluorescent  replacing 400 Watt lamp base case</w:t>
            </w:r>
          </w:p>
        </w:tc>
        <w:tc>
          <w:tcPr>
            <w:tcW w:w="1103" w:type="pct"/>
          </w:tcPr>
          <w:p w14:paraId="75F5AE49" w14:textId="77777777" w:rsidR="00B80979" w:rsidRPr="00920905" w:rsidRDefault="00B80979" w:rsidP="001C3DA9">
            <w:pPr>
              <w:rPr>
                <w:rFonts w:cstheme="minorHAnsi"/>
                <w:color w:val="FF0000"/>
                <w:szCs w:val="20"/>
              </w:rPr>
            </w:pPr>
            <w:r w:rsidRPr="005E087B">
              <w:rPr>
                <w:rFonts w:ascii="Calibri" w:hAnsi="Calibri" w:cs="Calibri"/>
                <w:color w:val="000000"/>
                <w:szCs w:val="20"/>
              </w:rPr>
              <w:t>C-In-LFFixt-T5-46in-54w+El-PS-HLO-1(234w)-dWP224-dWC166</w:t>
            </w:r>
          </w:p>
        </w:tc>
      </w:tr>
      <w:tr w:rsidR="00B80979" w:rsidRPr="00500C4E" w14:paraId="74749AAF" w14:textId="6BE81237" w:rsidTr="00B80979">
        <w:tc>
          <w:tcPr>
            <w:tcW w:w="1024" w:type="pct"/>
          </w:tcPr>
          <w:p w14:paraId="5129E0B6" w14:textId="77777777" w:rsidR="00B80979" w:rsidRPr="00920905" w:rsidRDefault="00B80979" w:rsidP="001C3DA9">
            <w:pPr>
              <w:rPr>
                <w:rFonts w:cstheme="minorHAnsi"/>
                <w:color w:val="FF0000"/>
                <w:szCs w:val="20"/>
              </w:rPr>
            </w:pPr>
            <w:r w:rsidRPr="00C50C38">
              <w:rPr>
                <w:rFonts w:ascii="Calibri" w:hAnsi="Calibri" w:cs="Calibri"/>
                <w:color w:val="000000"/>
                <w:szCs w:val="20"/>
              </w:rPr>
              <w:t>LT-55943</w:t>
            </w:r>
          </w:p>
        </w:tc>
        <w:tc>
          <w:tcPr>
            <w:tcW w:w="2873" w:type="pct"/>
          </w:tcPr>
          <w:p w14:paraId="4E9E97A2" w14:textId="77777777" w:rsidR="00B80979" w:rsidRPr="00920905" w:rsidRDefault="00B80979" w:rsidP="001C3DA9">
            <w:pPr>
              <w:rPr>
                <w:rFonts w:cstheme="minorHAnsi"/>
                <w:color w:val="FF0000"/>
                <w:szCs w:val="20"/>
              </w:rPr>
            </w:pPr>
            <w:r w:rsidRPr="005E087B">
              <w:rPr>
                <w:rFonts w:ascii="Calibri" w:hAnsi="Calibri" w:cs="Calibri"/>
                <w:color w:val="000000"/>
                <w:szCs w:val="20"/>
              </w:rPr>
              <w:t>245 to 360 Watt (Tier 2) Interior Fixture T5 Linear Fluorescent  replacing 400 Watt lamp base case</w:t>
            </w:r>
          </w:p>
        </w:tc>
        <w:tc>
          <w:tcPr>
            <w:tcW w:w="1103" w:type="pct"/>
          </w:tcPr>
          <w:p w14:paraId="352C02CF" w14:textId="77777777" w:rsidR="00B80979" w:rsidRPr="00920905" w:rsidRDefault="00B80979" w:rsidP="001C3DA9">
            <w:pPr>
              <w:rPr>
                <w:rFonts w:cstheme="minorHAnsi"/>
                <w:color w:val="FF0000"/>
                <w:szCs w:val="20"/>
              </w:rPr>
            </w:pPr>
            <w:r w:rsidRPr="005E087B">
              <w:rPr>
                <w:rFonts w:ascii="Calibri" w:hAnsi="Calibri" w:cs="Calibri"/>
                <w:color w:val="000000"/>
                <w:szCs w:val="20"/>
              </w:rPr>
              <w:t>C-In-LFFixt-T5-46in-54w+El-PS-HLO-1(351w)-dWP107-dWC105</w:t>
            </w:r>
          </w:p>
        </w:tc>
      </w:tr>
      <w:tr w:rsidR="00B80979" w:rsidRPr="00500C4E" w14:paraId="452AC7FB" w14:textId="151DC939" w:rsidTr="00B80979">
        <w:tc>
          <w:tcPr>
            <w:tcW w:w="1024" w:type="pct"/>
          </w:tcPr>
          <w:p w14:paraId="385F2376" w14:textId="77777777" w:rsidR="00B80979" w:rsidRPr="00920905" w:rsidRDefault="00B80979" w:rsidP="001C3DA9">
            <w:pPr>
              <w:rPr>
                <w:rFonts w:cstheme="minorHAnsi"/>
                <w:color w:val="FF0000"/>
                <w:szCs w:val="20"/>
              </w:rPr>
            </w:pPr>
            <w:r>
              <w:rPr>
                <w:rFonts w:ascii="Calibri" w:hAnsi="Calibri" w:cs="Calibri"/>
                <w:color w:val="000000"/>
                <w:szCs w:val="20"/>
              </w:rPr>
              <w:t>LT-92448</w:t>
            </w:r>
          </w:p>
        </w:tc>
        <w:tc>
          <w:tcPr>
            <w:tcW w:w="2873" w:type="pct"/>
          </w:tcPr>
          <w:p w14:paraId="34E03152" w14:textId="77777777" w:rsidR="00B80979" w:rsidRPr="00920905" w:rsidRDefault="00B80979" w:rsidP="001C3DA9">
            <w:pPr>
              <w:rPr>
                <w:rFonts w:cstheme="minorHAnsi"/>
                <w:color w:val="FF0000"/>
                <w:szCs w:val="20"/>
              </w:rPr>
            </w:pPr>
            <w:r w:rsidRPr="005E087B">
              <w:rPr>
                <w:rFonts w:ascii="Calibri" w:hAnsi="Calibri" w:cs="Calibri"/>
                <w:color w:val="000000"/>
                <w:szCs w:val="20"/>
              </w:rPr>
              <w:t>Up to 600 Watt Interior Fixture T5 Linear Fluorescent  replacing greater than 400 Watt lamp base case</w:t>
            </w:r>
          </w:p>
        </w:tc>
        <w:tc>
          <w:tcPr>
            <w:tcW w:w="1103" w:type="pct"/>
          </w:tcPr>
          <w:p w14:paraId="17D0ED42" w14:textId="77777777" w:rsidR="00B80979" w:rsidRPr="00920905" w:rsidRDefault="00B80979" w:rsidP="001C3DA9">
            <w:pPr>
              <w:rPr>
                <w:rFonts w:cstheme="minorHAnsi"/>
                <w:color w:val="FF0000"/>
                <w:szCs w:val="20"/>
              </w:rPr>
            </w:pPr>
            <w:r w:rsidRPr="005E087B">
              <w:rPr>
                <w:rFonts w:ascii="Calibri" w:hAnsi="Calibri" w:cs="Calibri"/>
                <w:color w:val="000000"/>
                <w:szCs w:val="20"/>
              </w:rPr>
              <w:t>C-In-LFFixt-T5-46in-54w+El-PS-HLO(585w)-dWP495-dWC233</w:t>
            </w:r>
          </w:p>
        </w:tc>
      </w:tr>
      <w:tr w:rsidR="00B80979" w:rsidRPr="00500C4E" w14:paraId="0EF53345" w14:textId="20C19F84" w:rsidTr="00B80979">
        <w:tc>
          <w:tcPr>
            <w:tcW w:w="1024" w:type="pct"/>
          </w:tcPr>
          <w:p w14:paraId="1546BB35" w14:textId="77777777" w:rsidR="00B80979" w:rsidRPr="00920905" w:rsidRDefault="00B80979" w:rsidP="001C3DA9">
            <w:pPr>
              <w:rPr>
                <w:rFonts w:cstheme="minorHAnsi"/>
                <w:color w:val="FF0000"/>
                <w:szCs w:val="20"/>
              </w:rPr>
            </w:pPr>
            <w:r>
              <w:rPr>
                <w:rFonts w:ascii="Calibri" w:hAnsi="Calibri" w:cs="Calibri"/>
                <w:color w:val="000000"/>
                <w:szCs w:val="20"/>
              </w:rPr>
              <w:t>LT-38287</w:t>
            </w:r>
          </w:p>
        </w:tc>
        <w:tc>
          <w:tcPr>
            <w:tcW w:w="2873" w:type="pct"/>
          </w:tcPr>
          <w:p w14:paraId="55889D9F" w14:textId="77777777" w:rsidR="00B80979" w:rsidRPr="00920905" w:rsidRDefault="00B80979" w:rsidP="001C3DA9">
            <w:pPr>
              <w:rPr>
                <w:rFonts w:cstheme="minorHAnsi"/>
                <w:color w:val="FF0000"/>
                <w:szCs w:val="20"/>
              </w:rPr>
            </w:pPr>
            <w:r w:rsidRPr="005E087B">
              <w:rPr>
                <w:rFonts w:ascii="Calibri" w:hAnsi="Calibri" w:cs="Calibri"/>
                <w:color w:val="000000"/>
                <w:szCs w:val="20"/>
              </w:rPr>
              <w:t>Up to 244 Watt Interior Fixture T5 Linear Fluorescent replacing 350 Watt lamp base case</w:t>
            </w:r>
          </w:p>
        </w:tc>
        <w:tc>
          <w:tcPr>
            <w:tcW w:w="1103" w:type="pct"/>
          </w:tcPr>
          <w:p w14:paraId="7513AD88" w14:textId="77777777" w:rsidR="00B80979" w:rsidRPr="00920905" w:rsidRDefault="00B80979" w:rsidP="001C3DA9">
            <w:pPr>
              <w:rPr>
                <w:rFonts w:cstheme="minorHAnsi"/>
                <w:color w:val="FF0000"/>
                <w:szCs w:val="20"/>
              </w:rPr>
            </w:pPr>
            <w:r w:rsidRPr="005E087B">
              <w:rPr>
                <w:rFonts w:ascii="Calibri" w:hAnsi="Calibri" w:cs="Calibri"/>
                <w:color w:val="000000"/>
                <w:szCs w:val="20"/>
              </w:rPr>
              <w:t>C-In-LFFixt-T5-46in-54w+El-PS-HLO-1(234w)-dWP170-dWC166</w:t>
            </w:r>
          </w:p>
        </w:tc>
      </w:tr>
      <w:tr w:rsidR="00B80979" w:rsidRPr="00500C4E" w14:paraId="3C57CA19" w14:textId="17F8C112" w:rsidTr="00B80979">
        <w:tc>
          <w:tcPr>
            <w:tcW w:w="1024" w:type="pct"/>
          </w:tcPr>
          <w:p w14:paraId="6FBC9117" w14:textId="77777777" w:rsidR="00B80979" w:rsidRPr="00920905" w:rsidRDefault="00B80979" w:rsidP="001C3DA9">
            <w:pPr>
              <w:rPr>
                <w:rFonts w:cstheme="minorHAnsi"/>
                <w:color w:val="FF0000"/>
                <w:szCs w:val="20"/>
              </w:rPr>
            </w:pPr>
            <w:r>
              <w:rPr>
                <w:rFonts w:ascii="Calibri" w:hAnsi="Calibri" w:cs="Calibri"/>
                <w:color w:val="000000"/>
                <w:szCs w:val="20"/>
              </w:rPr>
              <w:t>LT-10232</w:t>
            </w:r>
          </w:p>
        </w:tc>
        <w:tc>
          <w:tcPr>
            <w:tcW w:w="2873" w:type="pct"/>
          </w:tcPr>
          <w:p w14:paraId="301713F2" w14:textId="77777777" w:rsidR="00B80979" w:rsidRPr="00920905" w:rsidRDefault="00B80979" w:rsidP="001C3DA9">
            <w:pPr>
              <w:rPr>
                <w:rFonts w:cstheme="minorHAnsi"/>
                <w:color w:val="FF0000"/>
                <w:szCs w:val="20"/>
              </w:rPr>
            </w:pPr>
            <w:r w:rsidRPr="005E087B">
              <w:rPr>
                <w:rFonts w:ascii="Calibri" w:hAnsi="Calibri" w:cs="Calibri"/>
                <w:color w:val="000000"/>
                <w:szCs w:val="20"/>
              </w:rPr>
              <w:t>(4) 46in (2) Programmed Start Ballast - Normal Light Output - HO T5 Linear Fluorescent replacing 400 Watt Mercury Vapor</w:t>
            </w:r>
          </w:p>
        </w:tc>
        <w:tc>
          <w:tcPr>
            <w:tcW w:w="1103" w:type="pct"/>
          </w:tcPr>
          <w:p w14:paraId="0064F6AC" w14:textId="77777777" w:rsidR="00B80979" w:rsidRPr="00920905" w:rsidRDefault="00B80979" w:rsidP="001C3DA9">
            <w:pPr>
              <w:rPr>
                <w:rFonts w:cstheme="minorHAnsi"/>
                <w:color w:val="FF0000"/>
                <w:szCs w:val="20"/>
              </w:rPr>
            </w:pPr>
            <w:r w:rsidRPr="005E087B">
              <w:rPr>
                <w:rFonts w:ascii="Calibri" w:hAnsi="Calibri" w:cs="Calibri"/>
                <w:color w:val="000000"/>
                <w:szCs w:val="20"/>
              </w:rPr>
              <w:t>C-In-LFFixt-T5-46in-54w+El-PS-HLO-1(234w)-dwP221-dwC131</w:t>
            </w:r>
          </w:p>
        </w:tc>
      </w:tr>
      <w:tr w:rsidR="00B80979" w:rsidRPr="00500C4E" w14:paraId="30436047" w14:textId="3081E308" w:rsidTr="00B80979">
        <w:tc>
          <w:tcPr>
            <w:tcW w:w="1024" w:type="pct"/>
          </w:tcPr>
          <w:p w14:paraId="0EF101F8" w14:textId="77777777" w:rsidR="00B80979" w:rsidRPr="00920905" w:rsidRDefault="00B80979" w:rsidP="001C3DA9">
            <w:pPr>
              <w:rPr>
                <w:rFonts w:cstheme="minorHAnsi"/>
                <w:color w:val="FF0000"/>
                <w:szCs w:val="20"/>
              </w:rPr>
            </w:pPr>
            <w:r>
              <w:rPr>
                <w:rFonts w:ascii="Calibri" w:hAnsi="Calibri" w:cs="Calibri"/>
                <w:color w:val="000000"/>
                <w:szCs w:val="20"/>
              </w:rPr>
              <w:t>LT-28754</w:t>
            </w:r>
          </w:p>
        </w:tc>
        <w:tc>
          <w:tcPr>
            <w:tcW w:w="2873" w:type="pct"/>
          </w:tcPr>
          <w:p w14:paraId="4EE543A3" w14:textId="77777777" w:rsidR="00B80979" w:rsidRPr="00920905" w:rsidRDefault="00B80979" w:rsidP="001C3DA9">
            <w:pPr>
              <w:rPr>
                <w:rFonts w:cstheme="minorHAnsi"/>
                <w:color w:val="FF0000"/>
                <w:szCs w:val="20"/>
              </w:rPr>
            </w:pPr>
            <w:r w:rsidRPr="005E087B">
              <w:rPr>
                <w:rFonts w:ascii="Calibri" w:hAnsi="Calibri" w:cs="Calibri"/>
                <w:color w:val="000000"/>
                <w:szCs w:val="20"/>
              </w:rPr>
              <w:t>(6) 46in (3) Programmed Start Ballast - Normal Light Output - HO T5 Linear Fluorescent replacing 400 Watt Pulse Start HID</w:t>
            </w:r>
          </w:p>
        </w:tc>
        <w:tc>
          <w:tcPr>
            <w:tcW w:w="1103" w:type="pct"/>
          </w:tcPr>
          <w:p w14:paraId="4C609510" w14:textId="77777777" w:rsidR="00B80979" w:rsidRPr="00920905" w:rsidRDefault="00B80979" w:rsidP="001C3DA9">
            <w:pPr>
              <w:rPr>
                <w:rFonts w:cstheme="minorHAnsi"/>
                <w:color w:val="FF0000"/>
                <w:szCs w:val="20"/>
              </w:rPr>
            </w:pPr>
            <w:r w:rsidRPr="005E087B">
              <w:rPr>
                <w:rFonts w:ascii="Calibri" w:hAnsi="Calibri" w:cs="Calibri"/>
                <w:color w:val="000000"/>
                <w:szCs w:val="20"/>
              </w:rPr>
              <w:t>C-In-LFFixt-T5-46in-54w+El-PS-HLO-1(351w)-dwP105</w:t>
            </w:r>
          </w:p>
        </w:tc>
      </w:tr>
      <w:tr w:rsidR="00B80979" w:rsidRPr="00500C4E" w14:paraId="12753332" w14:textId="5B1FB942" w:rsidTr="00B80979">
        <w:tc>
          <w:tcPr>
            <w:tcW w:w="1024" w:type="pct"/>
          </w:tcPr>
          <w:p w14:paraId="23D158FD" w14:textId="77777777" w:rsidR="00B80979" w:rsidRPr="00920905" w:rsidRDefault="00B80979" w:rsidP="001C3DA9">
            <w:pPr>
              <w:rPr>
                <w:rFonts w:cstheme="minorHAnsi"/>
                <w:color w:val="FF0000"/>
                <w:szCs w:val="20"/>
              </w:rPr>
            </w:pPr>
            <w:r>
              <w:rPr>
                <w:rFonts w:ascii="Calibri" w:hAnsi="Calibri" w:cs="Calibri"/>
                <w:color w:val="000000"/>
                <w:szCs w:val="20"/>
              </w:rPr>
              <w:t>LT-39676</w:t>
            </w:r>
          </w:p>
        </w:tc>
        <w:tc>
          <w:tcPr>
            <w:tcW w:w="2873" w:type="pct"/>
          </w:tcPr>
          <w:p w14:paraId="314FA98B" w14:textId="77777777" w:rsidR="00B80979" w:rsidRPr="00920905" w:rsidRDefault="00B80979" w:rsidP="001C3DA9">
            <w:pPr>
              <w:rPr>
                <w:rFonts w:cstheme="minorHAnsi"/>
                <w:color w:val="FF0000"/>
                <w:szCs w:val="20"/>
              </w:rPr>
            </w:pPr>
            <w:r w:rsidRPr="005E087B">
              <w:rPr>
                <w:rFonts w:ascii="Calibri" w:hAnsi="Calibri" w:cs="Calibri"/>
                <w:color w:val="000000"/>
                <w:szCs w:val="20"/>
              </w:rPr>
              <w:t>(6) 46in (3) Programmed Start Ballast - Normal Light Output - HO T5 Linear Fluorescent replacing 700 Watt Mercury Vapor</w:t>
            </w:r>
          </w:p>
        </w:tc>
        <w:tc>
          <w:tcPr>
            <w:tcW w:w="1103" w:type="pct"/>
          </w:tcPr>
          <w:p w14:paraId="582805D9" w14:textId="77777777" w:rsidR="00B80979" w:rsidRPr="00920905" w:rsidRDefault="00B80979" w:rsidP="001C3DA9">
            <w:pPr>
              <w:rPr>
                <w:rFonts w:cstheme="minorHAnsi"/>
                <w:color w:val="FF0000"/>
                <w:szCs w:val="20"/>
              </w:rPr>
            </w:pPr>
            <w:r w:rsidRPr="005E087B">
              <w:rPr>
                <w:rFonts w:ascii="Calibri" w:hAnsi="Calibri" w:cs="Calibri"/>
                <w:color w:val="000000"/>
                <w:szCs w:val="20"/>
              </w:rPr>
              <w:t>C-In-LFFixt-T5-46in-54w+El-PS-HLO-1(351w)-dwP429-dwC105</w:t>
            </w:r>
          </w:p>
        </w:tc>
      </w:tr>
    </w:tbl>
    <w:p w14:paraId="54D96158" w14:textId="1266AE35" w:rsidR="00382774" w:rsidRDefault="00382774" w:rsidP="00E16609">
      <w:pPr>
        <w:pStyle w:val="Reminders"/>
        <w:rPr>
          <w:rFonts w:asciiTheme="minorHAnsi" w:hAnsiTheme="minorHAnsi" w:cstheme="minorHAnsi"/>
          <w:i w:val="0"/>
          <w:szCs w:val="22"/>
        </w:rPr>
      </w:pPr>
    </w:p>
    <w:p w14:paraId="6C7EC920" w14:textId="49C926A2" w:rsidR="00E16609" w:rsidRPr="00500C4E" w:rsidRDefault="00E16609" w:rsidP="00E16609">
      <w:pPr>
        <w:pStyle w:val="Heading1"/>
        <w:keepNext w:val="0"/>
        <w:rPr>
          <w:rFonts w:cstheme="minorHAnsi"/>
        </w:rPr>
      </w:pPr>
      <w:bookmarkStart w:id="16" w:name="_Toc214003093"/>
      <w:r w:rsidRPr="00500C4E">
        <w:rPr>
          <w:rFonts w:cstheme="minorHAnsi"/>
        </w:rPr>
        <w:lastRenderedPageBreak/>
        <w:t>Section 3</w:t>
      </w:r>
      <w:r w:rsidR="00317970">
        <w:rPr>
          <w:rFonts w:cstheme="minorHAnsi"/>
        </w:rPr>
        <w:t>.</w:t>
      </w:r>
      <w:r w:rsidR="00317970" w:rsidRPr="00500C4E">
        <w:rPr>
          <w:rFonts w:cstheme="minorHAnsi"/>
        </w:rPr>
        <w:t xml:space="preserve"> </w:t>
      </w:r>
      <w:r w:rsidRPr="00500C4E">
        <w:rPr>
          <w:rFonts w:cstheme="minorHAnsi"/>
        </w:rPr>
        <w:t>Load Shape</w:t>
      </w:r>
      <w:bookmarkEnd w:id="16"/>
      <w:r w:rsidRPr="00500C4E">
        <w:rPr>
          <w:rFonts w:cstheme="minorHAnsi"/>
        </w:rPr>
        <w:t>s</w:t>
      </w:r>
    </w:p>
    <w:p w14:paraId="5011D4DE" w14:textId="22385799" w:rsidR="00207BE0"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66853B62" w14:textId="77777777" w:rsidR="00A753CE" w:rsidRPr="00500C4E" w:rsidRDefault="00A753CE" w:rsidP="00E16609">
      <w:pPr>
        <w:rPr>
          <w:rFonts w:cstheme="minorHAnsi"/>
          <w:szCs w:val="22"/>
        </w:rPr>
      </w:pP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D72D0B">
        <w:tc>
          <w:tcPr>
            <w:tcW w:w="1686" w:type="pct"/>
            <w:shd w:val="clear" w:color="auto" w:fill="D9D9D9" w:themeFill="background1" w:themeFillShade="D9"/>
          </w:tcPr>
          <w:p w14:paraId="11626AAF" w14:textId="77777777" w:rsidR="00263C1C" w:rsidRPr="00920905" w:rsidRDefault="00263C1C" w:rsidP="00D72D0B">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D72D0B">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rsidP="00D72D0B">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BC602C" w:rsidRPr="00500C4E" w14:paraId="3D341893" w14:textId="77777777" w:rsidTr="00D72D0B">
        <w:tc>
          <w:tcPr>
            <w:tcW w:w="1686" w:type="pct"/>
          </w:tcPr>
          <w:p w14:paraId="4FA2FF6D" w14:textId="0F3B589D" w:rsidR="00BC602C" w:rsidRPr="00920905" w:rsidRDefault="00BC602C" w:rsidP="00D72D0B">
            <w:pPr>
              <w:rPr>
                <w:rFonts w:cstheme="minorHAnsi"/>
                <w:color w:val="FF0000"/>
                <w:szCs w:val="20"/>
              </w:rPr>
            </w:pPr>
            <w:r>
              <w:rPr>
                <w:rFonts w:ascii="Calibri" w:hAnsi="Calibri" w:cs="Arial"/>
                <w:color w:val="000000"/>
                <w:szCs w:val="20"/>
              </w:rPr>
              <w:t>Assembly</w:t>
            </w:r>
          </w:p>
        </w:tc>
        <w:tc>
          <w:tcPr>
            <w:tcW w:w="1779" w:type="pct"/>
          </w:tcPr>
          <w:p w14:paraId="3B2DCD1E" w14:textId="48BA17A1"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6722CD8A" w14:textId="192E9B0A"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1FB64A38" w14:textId="77777777" w:rsidTr="00D72D0B">
        <w:tc>
          <w:tcPr>
            <w:tcW w:w="1686" w:type="pct"/>
          </w:tcPr>
          <w:p w14:paraId="129F9965" w14:textId="5CBE4A42" w:rsidR="00BC602C" w:rsidRPr="00920905" w:rsidRDefault="00BC602C" w:rsidP="00D72D0B">
            <w:pPr>
              <w:rPr>
                <w:rFonts w:cstheme="minorHAnsi"/>
                <w:color w:val="FF0000"/>
                <w:szCs w:val="20"/>
              </w:rPr>
            </w:pPr>
            <w:r>
              <w:rPr>
                <w:rFonts w:ascii="Calibri" w:hAnsi="Calibri" w:cs="Arial"/>
                <w:color w:val="000000"/>
                <w:szCs w:val="20"/>
              </w:rPr>
              <w:t>Education - Primary School</w:t>
            </w:r>
          </w:p>
        </w:tc>
        <w:tc>
          <w:tcPr>
            <w:tcW w:w="1779" w:type="pct"/>
          </w:tcPr>
          <w:p w14:paraId="0FCC70F1" w14:textId="584192AE"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31157856" w14:textId="6435E1E8"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0B0A2C71" w14:textId="77777777" w:rsidTr="00D72D0B">
        <w:tc>
          <w:tcPr>
            <w:tcW w:w="1686" w:type="pct"/>
          </w:tcPr>
          <w:p w14:paraId="197BBAD7" w14:textId="02286E28" w:rsidR="00BC602C" w:rsidRPr="00920905" w:rsidRDefault="00BC602C" w:rsidP="00D72D0B">
            <w:pPr>
              <w:rPr>
                <w:rFonts w:cstheme="minorHAnsi"/>
                <w:color w:val="FF0000"/>
                <w:szCs w:val="20"/>
              </w:rPr>
            </w:pPr>
            <w:r>
              <w:rPr>
                <w:rFonts w:ascii="Calibri" w:hAnsi="Calibri" w:cs="Arial"/>
                <w:color w:val="000000"/>
                <w:szCs w:val="20"/>
              </w:rPr>
              <w:t>Education - Secondary School</w:t>
            </w:r>
          </w:p>
        </w:tc>
        <w:tc>
          <w:tcPr>
            <w:tcW w:w="1779" w:type="pct"/>
          </w:tcPr>
          <w:p w14:paraId="3ABB95DC" w14:textId="6416A515"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4970E4E6" w14:textId="53C80B72"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5290E876" w14:textId="77777777" w:rsidTr="00D72D0B">
        <w:tc>
          <w:tcPr>
            <w:tcW w:w="1686" w:type="pct"/>
          </w:tcPr>
          <w:p w14:paraId="7ED78DD6" w14:textId="3C6BE5B6" w:rsidR="00BC602C" w:rsidRPr="00920905" w:rsidRDefault="00BC602C" w:rsidP="00D72D0B">
            <w:pPr>
              <w:rPr>
                <w:rFonts w:cstheme="minorHAnsi"/>
                <w:color w:val="FF0000"/>
                <w:szCs w:val="20"/>
              </w:rPr>
            </w:pPr>
            <w:r>
              <w:rPr>
                <w:rFonts w:ascii="Calibri" w:hAnsi="Calibri" w:cs="Arial"/>
                <w:color w:val="000000"/>
                <w:szCs w:val="20"/>
              </w:rPr>
              <w:t>Education - Relocatable Classroom</w:t>
            </w:r>
          </w:p>
        </w:tc>
        <w:tc>
          <w:tcPr>
            <w:tcW w:w="1779" w:type="pct"/>
          </w:tcPr>
          <w:p w14:paraId="2E6950B7" w14:textId="12585408"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194A4DA1" w14:textId="619C735F"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750A1D72" w14:textId="77777777" w:rsidTr="00D72D0B">
        <w:tc>
          <w:tcPr>
            <w:tcW w:w="1686" w:type="pct"/>
          </w:tcPr>
          <w:p w14:paraId="0DF7C5C6" w14:textId="4A02F3C1" w:rsidR="00BC602C" w:rsidRPr="00920905" w:rsidRDefault="00BC602C" w:rsidP="00D72D0B">
            <w:pPr>
              <w:rPr>
                <w:rFonts w:cstheme="minorHAnsi"/>
                <w:color w:val="FF0000"/>
                <w:szCs w:val="20"/>
              </w:rPr>
            </w:pPr>
            <w:r>
              <w:rPr>
                <w:rFonts w:ascii="Calibri" w:hAnsi="Calibri" w:cs="Arial"/>
                <w:color w:val="000000"/>
                <w:szCs w:val="20"/>
              </w:rPr>
              <w:t>Education - Community College</w:t>
            </w:r>
          </w:p>
        </w:tc>
        <w:tc>
          <w:tcPr>
            <w:tcW w:w="1779" w:type="pct"/>
          </w:tcPr>
          <w:p w14:paraId="756B0455" w14:textId="6E4E10B2"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2592350E" w14:textId="43E377D9"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1FBA73BB" w14:textId="77777777" w:rsidTr="00D72D0B">
        <w:tc>
          <w:tcPr>
            <w:tcW w:w="1686" w:type="pct"/>
          </w:tcPr>
          <w:p w14:paraId="0CBD7F46" w14:textId="08798AFD" w:rsidR="00BC602C" w:rsidRPr="00920905" w:rsidRDefault="00BC602C" w:rsidP="00D72D0B">
            <w:pPr>
              <w:rPr>
                <w:rFonts w:cstheme="minorHAnsi"/>
                <w:color w:val="FF0000"/>
                <w:szCs w:val="20"/>
              </w:rPr>
            </w:pPr>
            <w:r>
              <w:rPr>
                <w:rFonts w:ascii="Calibri" w:hAnsi="Calibri" w:cs="Arial"/>
                <w:color w:val="000000"/>
                <w:szCs w:val="20"/>
              </w:rPr>
              <w:t>Education - University</w:t>
            </w:r>
          </w:p>
        </w:tc>
        <w:tc>
          <w:tcPr>
            <w:tcW w:w="1779" w:type="pct"/>
          </w:tcPr>
          <w:p w14:paraId="5CC84BE3" w14:textId="39D5C681"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0B142ACB" w14:textId="592D1E59"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21DA9617" w14:textId="77777777" w:rsidTr="00D72D0B">
        <w:tc>
          <w:tcPr>
            <w:tcW w:w="1686" w:type="pct"/>
          </w:tcPr>
          <w:p w14:paraId="056B6961" w14:textId="32F23438" w:rsidR="00BC602C" w:rsidRPr="00920905" w:rsidRDefault="00BC602C" w:rsidP="00D72D0B">
            <w:pPr>
              <w:rPr>
                <w:rFonts w:cstheme="minorHAnsi"/>
                <w:color w:val="FF0000"/>
                <w:szCs w:val="20"/>
              </w:rPr>
            </w:pPr>
            <w:r>
              <w:rPr>
                <w:rFonts w:ascii="Calibri" w:hAnsi="Calibri" w:cs="Arial"/>
                <w:color w:val="000000"/>
                <w:szCs w:val="20"/>
              </w:rPr>
              <w:t>Grocery</w:t>
            </w:r>
          </w:p>
        </w:tc>
        <w:tc>
          <w:tcPr>
            <w:tcW w:w="1779" w:type="pct"/>
          </w:tcPr>
          <w:p w14:paraId="04B660AB" w14:textId="10CA13CD"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63A73CF6" w14:textId="33664F94"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0A488461" w14:textId="77777777" w:rsidTr="00D72D0B">
        <w:tc>
          <w:tcPr>
            <w:tcW w:w="1686" w:type="pct"/>
          </w:tcPr>
          <w:p w14:paraId="2DF7C0F5" w14:textId="7707ABC4" w:rsidR="00BC602C" w:rsidRPr="00920905" w:rsidRDefault="00BC602C" w:rsidP="00D72D0B">
            <w:pPr>
              <w:rPr>
                <w:rFonts w:cstheme="minorHAnsi"/>
                <w:color w:val="FF0000"/>
                <w:szCs w:val="20"/>
              </w:rPr>
            </w:pPr>
            <w:r>
              <w:rPr>
                <w:rFonts w:ascii="Calibri" w:hAnsi="Calibri" w:cs="Arial"/>
                <w:color w:val="000000"/>
                <w:szCs w:val="20"/>
              </w:rPr>
              <w:t>Health/Medical - Hospital</w:t>
            </w:r>
          </w:p>
        </w:tc>
        <w:tc>
          <w:tcPr>
            <w:tcW w:w="1779" w:type="pct"/>
          </w:tcPr>
          <w:p w14:paraId="14B2357F" w14:textId="7C557795"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13BB0F59" w14:textId="75D99938"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3C15849F" w14:textId="77777777" w:rsidTr="00D72D0B">
        <w:tc>
          <w:tcPr>
            <w:tcW w:w="1686" w:type="pct"/>
          </w:tcPr>
          <w:p w14:paraId="368E74F7" w14:textId="37D7F08E" w:rsidR="00BC602C" w:rsidRPr="00920905" w:rsidRDefault="00BC602C" w:rsidP="00D72D0B">
            <w:pPr>
              <w:rPr>
                <w:rFonts w:cstheme="minorHAnsi"/>
                <w:color w:val="FF0000"/>
                <w:szCs w:val="20"/>
              </w:rPr>
            </w:pPr>
            <w:r>
              <w:rPr>
                <w:rFonts w:ascii="Calibri" w:hAnsi="Calibri" w:cs="Arial"/>
                <w:color w:val="000000"/>
                <w:szCs w:val="20"/>
              </w:rPr>
              <w:t>Health/Medical - Nursing Home</w:t>
            </w:r>
          </w:p>
        </w:tc>
        <w:tc>
          <w:tcPr>
            <w:tcW w:w="1779" w:type="pct"/>
          </w:tcPr>
          <w:p w14:paraId="1229EA32" w14:textId="7234511F"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6D0A380F" w14:textId="5C1914C9"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08D5A4FF" w14:textId="77777777" w:rsidTr="00D72D0B">
        <w:tc>
          <w:tcPr>
            <w:tcW w:w="1686" w:type="pct"/>
          </w:tcPr>
          <w:p w14:paraId="3E0FEF97" w14:textId="493F4D0B" w:rsidR="00BC602C" w:rsidRPr="00920905" w:rsidRDefault="00BC602C" w:rsidP="00D72D0B">
            <w:pPr>
              <w:rPr>
                <w:rFonts w:cstheme="minorHAnsi"/>
                <w:color w:val="FF0000"/>
                <w:szCs w:val="20"/>
              </w:rPr>
            </w:pPr>
            <w:r>
              <w:rPr>
                <w:rFonts w:ascii="Calibri" w:hAnsi="Calibri" w:cs="Arial"/>
                <w:color w:val="000000"/>
                <w:szCs w:val="20"/>
              </w:rPr>
              <w:t>Lodging - Hotel</w:t>
            </w:r>
          </w:p>
        </w:tc>
        <w:tc>
          <w:tcPr>
            <w:tcW w:w="1779" w:type="pct"/>
          </w:tcPr>
          <w:p w14:paraId="0467539E" w14:textId="1C7B79A9"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0AFF8D1F" w14:textId="47F719FE"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79AB0E25" w14:textId="77777777" w:rsidTr="00D72D0B">
        <w:tc>
          <w:tcPr>
            <w:tcW w:w="1686" w:type="pct"/>
          </w:tcPr>
          <w:p w14:paraId="39EB8AD5" w14:textId="6DACF7B1" w:rsidR="00BC602C" w:rsidRPr="00920905" w:rsidRDefault="00BC602C" w:rsidP="00D72D0B">
            <w:pPr>
              <w:rPr>
                <w:rFonts w:cstheme="minorHAnsi"/>
                <w:color w:val="FF0000"/>
                <w:szCs w:val="20"/>
              </w:rPr>
            </w:pPr>
            <w:r>
              <w:rPr>
                <w:rFonts w:ascii="Calibri" w:hAnsi="Calibri" w:cs="Arial"/>
                <w:color w:val="000000"/>
                <w:szCs w:val="20"/>
              </w:rPr>
              <w:t>Lodging - Guest Rooms</w:t>
            </w:r>
          </w:p>
        </w:tc>
        <w:tc>
          <w:tcPr>
            <w:tcW w:w="1779" w:type="pct"/>
          </w:tcPr>
          <w:p w14:paraId="1C39D7EF" w14:textId="1FA73A03"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721DBB65" w14:textId="6D69508A"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59698D18" w14:textId="77777777" w:rsidTr="00D72D0B">
        <w:tc>
          <w:tcPr>
            <w:tcW w:w="1686" w:type="pct"/>
          </w:tcPr>
          <w:p w14:paraId="1679B74D" w14:textId="7C43BAF6" w:rsidR="00BC602C" w:rsidRPr="00920905" w:rsidRDefault="00BC602C" w:rsidP="00D72D0B">
            <w:pPr>
              <w:rPr>
                <w:rFonts w:cstheme="minorHAnsi"/>
                <w:color w:val="FF0000"/>
                <w:szCs w:val="20"/>
              </w:rPr>
            </w:pPr>
            <w:r>
              <w:rPr>
                <w:rFonts w:ascii="Calibri" w:hAnsi="Calibri" w:cs="Arial"/>
                <w:color w:val="000000"/>
                <w:szCs w:val="20"/>
              </w:rPr>
              <w:t>Lodging - Motel</w:t>
            </w:r>
          </w:p>
        </w:tc>
        <w:tc>
          <w:tcPr>
            <w:tcW w:w="1779" w:type="pct"/>
          </w:tcPr>
          <w:p w14:paraId="5679C842" w14:textId="4D6860E2"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19046A2A" w14:textId="38599F22"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196F1503" w14:textId="77777777" w:rsidTr="00D72D0B">
        <w:tc>
          <w:tcPr>
            <w:tcW w:w="1686" w:type="pct"/>
          </w:tcPr>
          <w:p w14:paraId="6D6CDC10" w14:textId="613ABDCE" w:rsidR="00BC602C" w:rsidRPr="00920905" w:rsidRDefault="00BC602C" w:rsidP="00D72D0B">
            <w:pPr>
              <w:rPr>
                <w:rFonts w:cstheme="minorHAnsi"/>
                <w:color w:val="FF0000"/>
                <w:szCs w:val="20"/>
              </w:rPr>
            </w:pPr>
            <w:r>
              <w:rPr>
                <w:rFonts w:ascii="Calibri" w:hAnsi="Calibri" w:cs="Arial"/>
                <w:color w:val="000000"/>
                <w:szCs w:val="20"/>
              </w:rPr>
              <w:t>Manufacturing - Bio/Tech</w:t>
            </w:r>
          </w:p>
        </w:tc>
        <w:tc>
          <w:tcPr>
            <w:tcW w:w="1779" w:type="pct"/>
          </w:tcPr>
          <w:p w14:paraId="0443529E" w14:textId="25907B9A"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25C5342B" w14:textId="32E28EC6"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60170A3A" w14:textId="77777777" w:rsidTr="00D72D0B">
        <w:tc>
          <w:tcPr>
            <w:tcW w:w="1686" w:type="pct"/>
          </w:tcPr>
          <w:p w14:paraId="36298EC7" w14:textId="388C14E0" w:rsidR="00BC602C" w:rsidRPr="00920905" w:rsidRDefault="00BC602C" w:rsidP="00D72D0B">
            <w:pPr>
              <w:rPr>
                <w:rFonts w:cstheme="minorHAnsi"/>
                <w:color w:val="FF0000"/>
                <w:szCs w:val="20"/>
              </w:rPr>
            </w:pPr>
            <w:r>
              <w:rPr>
                <w:rFonts w:ascii="Calibri" w:hAnsi="Calibri" w:cs="Arial"/>
                <w:color w:val="000000"/>
                <w:szCs w:val="20"/>
              </w:rPr>
              <w:t>Manufacturing - Light Industrial</w:t>
            </w:r>
          </w:p>
        </w:tc>
        <w:tc>
          <w:tcPr>
            <w:tcW w:w="1779" w:type="pct"/>
          </w:tcPr>
          <w:p w14:paraId="73574B45" w14:textId="7109B222"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76EF943E" w14:textId="1C03BD9C"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710C900A" w14:textId="77777777" w:rsidTr="00D72D0B">
        <w:tc>
          <w:tcPr>
            <w:tcW w:w="1686" w:type="pct"/>
          </w:tcPr>
          <w:p w14:paraId="73F3C05A" w14:textId="568DDBDE" w:rsidR="00BC602C" w:rsidRPr="00920905" w:rsidRDefault="00BC602C" w:rsidP="00D72D0B">
            <w:pPr>
              <w:rPr>
                <w:rFonts w:cstheme="minorHAnsi"/>
                <w:color w:val="FF0000"/>
                <w:szCs w:val="20"/>
              </w:rPr>
            </w:pPr>
            <w:r>
              <w:rPr>
                <w:rFonts w:ascii="Calibri" w:hAnsi="Calibri" w:cs="Arial"/>
                <w:color w:val="000000"/>
                <w:szCs w:val="20"/>
              </w:rPr>
              <w:t>Office - Large</w:t>
            </w:r>
          </w:p>
        </w:tc>
        <w:tc>
          <w:tcPr>
            <w:tcW w:w="1779" w:type="pct"/>
          </w:tcPr>
          <w:p w14:paraId="69272BF6" w14:textId="1B38B775"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1ECE7288" w14:textId="69E2B4E1"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79D0B021" w14:textId="77777777" w:rsidTr="00D72D0B">
        <w:tc>
          <w:tcPr>
            <w:tcW w:w="1686" w:type="pct"/>
          </w:tcPr>
          <w:p w14:paraId="4BFBE499" w14:textId="3942107A" w:rsidR="00BC602C" w:rsidRPr="00920905" w:rsidRDefault="00BC602C" w:rsidP="00D72D0B">
            <w:pPr>
              <w:rPr>
                <w:rFonts w:cstheme="minorHAnsi"/>
                <w:color w:val="FF0000"/>
                <w:szCs w:val="20"/>
              </w:rPr>
            </w:pPr>
            <w:r>
              <w:rPr>
                <w:rFonts w:ascii="Calibri" w:hAnsi="Calibri" w:cs="Arial"/>
                <w:color w:val="000000"/>
                <w:szCs w:val="20"/>
              </w:rPr>
              <w:t>Office - Small</w:t>
            </w:r>
          </w:p>
        </w:tc>
        <w:tc>
          <w:tcPr>
            <w:tcW w:w="1779" w:type="pct"/>
          </w:tcPr>
          <w:p w14:paraId="197D8E16" w14:textId="367EF203"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00C0A6EE" w14:textId="3F1720D3"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0C55D546" w14:textId="77777777" w:rsidTr="00D72D0B">
        <w:tc>
          <w:tcPr>
            <w:tcW w:w="1686" w:type="pct"/>
          </w:tcPr>
          <w:p w14:paraId="48690D76" w14:textId="75532048" w:rsidR="00BC602C" w:rsidRPr="00920905" w:rsidRDefault="00BC602C" w:rsidP="00D72D0B">
            <w:pPr>
              <w:rPr>
                <w:rFonts w:cstheme="minorHAnsi"/>
                <w:color w:val="FF0000"/>
                <w:szCs w:val="20"/>
              </w:rPr>
            </w:pPr>
            <w:r>
              <w:rPr>
                <w:rFonts w:ascii="Calibri" w:hAnsi="Calibri" w:cs="Arial"/>
                <w:color w:val="000000"/>
                <w:szCs w:val="20"/>
              </w:rPr>
              <w:t>Restaurant - Fast-Food</w:t>
            </w:r>
          </w:p>
        </w:tc>
        <w:tc>
          <w:tcPr>
            <w:tcW w:w="1779" w:type="pct"/>
          </w:tcPr>
          <w:p w14:paraId="01364442" w14:textId="110A5E00"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19E54A08" w14:textId="55C4D295"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7799AD9C" w14:textId="77777777" w:rsidTr="00D72D0B">
        <w:tc>
          <w:tcPr>
            <w:tcW w:w="1686" w:type="pct"/>
          </w:tcPr>
          <w:p w14:paraId="51908F3B" w14:textId="7ACF7AE3" w:rsidR="00BC602C" w:rsidRPr="00920905" w:rsidRDefault="00BC602C" w:rsidP="00D72D0B">
            <w:pPr>
              <w:rPr>
                <w:rFonts w:cstheme="minorHAnsi"/>
                <w:color w:val="FF0000"/>
                <w:szCs w:val="20"/>
              </w:rPr>
            </w:pPr>
            <w:r>
              <w:rPr>
                <w:rFonts w:ascii="Calibri" w:hAnsi="Calibri" w:cs="Arial"/>
                <w:color w:val="000000"/>
                <w:szCs w:val="20"/>
              </w:rPr>
              <w:t>Restaurant - Sit-Down</w:t>
            </w:r>
          </w:p>
        </w:tc>
        <w:tc>
          <w:tcPr>
            <w:tcW w:w="1779" w:type="pct"/>
          </w:tcPr>
          <w:p w14:paraId="31D3BBBA" w14:textId="04AA51BA"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22D59AA0" w14:textId="150DF868"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25A45E91" w14:textId="77777777" w:rsidTr="00D72D0B">
        <w:tc>
          <w:tcPr>
            <w:tcW w:w="1686" w:type="pct"/>
          </w:tcPr>
          <w:p w14:paraId="09FA4D52" w14:textId="53FF6B39" w:rsidR="00BC602C" w:rsidRPr="00920905" w:rsidRDefault="00BC602C" w:rsidP="00D72D0B">
            <w:pPr>
              <w:rPr>
                <w:rFonts w:cstheme="minorHAnsi"/>
                <w:color w:val="FF0000"/>
                <w:szCs w:val="20"/>
              </w:rPr>
            </w:pPr>
            <w:r>
              <w:rPr>
                <w:rFonts w:ascii="Calibri" w:hAnsi="Calibri" w:cs="Arial"/>
                <w:color w:val="000000"/>
                <w:szCs w:val="20"/>
              </w:rPr>
              <w:t>Retail - Multistory Large</w:t>
            </w:r>
          </w:p>
        </w:tc>
        <w:tc>
          <w:tcPr>
            <w:tcW w:w="1779" w:type="pct"/>
          </w:tcPr>
          <w:p w14:paraId="6274FE48" w14:textId="08C14174"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3D4BF28A" w14:textId="78F8A726"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1C3D6AE6" w14:textId="77777777" w:rsidTr="00D72D0B">
        <w:tc>
          <w:tcPr>
            <w:tcW w:w="1686" w:type="pct"/>
          </w:tcPr>
          <w:p w14:paraId="6456A569" w14:textId="76315CDB" w:rsidR="00BC602C" w:rsidRPr="00920905" w:rsidRDefault="00BC602C" w:rsidP="00D72D0B">
            <w:pPr>
              <w:rPr>
                <w:rFonts w:cstheme="minorHAnsi"/>
                <w:color w:val="FF0000"/>
                <w:szCs w:val="20"/>
              </w:rPr>
            </w:pPr>
            <w:r>
              <w:rPr>
                <w:rFonts w:ascii="Calibri" w:hAnsi="Calibri" w:cs="Arial"/>
                <w:color w:val="000000"/>
                <w:szCs w:val="20"/>
              </w:rPr>
              <w:t>Retail - Single-Story Large</w:t>
            </w:r>
          </w:p>
        </w:tc>
        <w:tc>
          <w:tcPr>
            <w:tcW w:w="1779" w:type="pct"/>
          </w:tcPr>
          <w:p w14:paraId="6B14A3C1" w14:textId="5EC427BB"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11DB1190" w14:textId="2635199C"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3393A55E" w14:textId="77777777" w:rsidTr="00D72D0B">
        <w:tc>
          <w:tcPr>
            <w:tcW w:w="1686" w:type="pct"/>
          </w:tcPr>
          <w:p w14:paraId="6BD1C0C6" w14:textId="5E2445FE" w:rsidR="00BC602C" w:rsidRPr="00920905" w:rsidRDefault="00BC602C" w:rsidP="00D72D0B">
            <w:pPr>
              <w:rPr>
                <w:rFonts w:cstheme="minorHAnsi"/>
                <w:color w:val="FF0000"/>
                <w:szCs w:val="20"/>
              </w:rPr>
            </w:pPr>
            <w:r>
              <w:rPr>
                <w:rFonts w:ascii="Calibri" w:hAnsi="Calibri" w:cs="Arial"/>
                <w:color w:val="000000"/>
                <w:szCs w:val="20"/>
              </w:rPr>
              <w:t>Retail - Small</w:t>
            </w:r>
          </w:p>
        </w:tc>
        <w:tc>
          <w:tcPr>
            <w:tcW w:w="1779" w:type="pct"/>
          </w:tcPr>
          <w:p w14:paraId="68DD5640" w14:textId="309E16B0"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0E42CBDD" w14:textId="3BD9299E"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5D10DC20" w14:textId="77777777" w:rsidTr="00D72D0B">
        <w:tc>
          <w:tcPr>
            <w:tcW w:w="1686" w:type="pct"/>
          </w:tcPr>
          <w:p w14:paraId="7BB34D5E" w14:textId="151E5769" w:rsidR="00BC602C" w:rsidRPr="00920905" w:rsidRDefault="00BC602C" w:rsidP="00D72D0B">
            <w:pPr>
              <w:rPr>
                <w:rFonts w:cstheme="minorHAnsi"/>
                <w:color w:val="FF0000"/>
                <w:szCs w:val="20"/>
              </w:rPr>
            </w:pPr>
            <w:r>
              <w:rPr>
                <w:rFonts w:ascii="Calibri" w:hAnsi="Calibri" w:cs="Arial"/>
                <w:color w:val="000000"/>
                <w:szCs w:val="20"/>
              </w:rPr>
              <w:t>Storage - Conditioned</w:t>
            </w:r>
          </w:p>
        </w:tc>
        <w:tc>
          <w:tcPr>
            <w:tcW w:w="1779" w:type="pct"/>
          </w:tcPr>
          <w:p w14:paraId="28AC0CCE" w14:textId="480C15C9"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6B7405D6" w14:textId="12AC942B"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4C0AAFFE" w14:textId="77777777" w:rsidTr="00D72D0B">
        <w:tc>
          <w:tcPr>
            <w:tcW w:w="1686" w:type="pct"/>
          </w:tcPr>
          <w:p w14:paraId="1286256F" w14:textId="01BCE86D" w:rsidR="00BC602C" w:rsidRPr="00920905" w:rsidRDefault="00BC602C" w:rsidP="00D72D0B">
            <w:pPr>
              <w:rPr>
                <w:rFonts w:cstheme="minorHAnsi"/>
                <w:color w:val="FF0000"/>
                <w:szCs w:val="20"/>
              </w:rPr>
            </w:pPr>
            <w:r>
              <w:rPr>
                <w:rFonts w:ascii="Calibri" w:hAnsi="Calibri" w:cs="Arial"/>
                <w:color w:val="000000"/>
                <w:szCs w:val="20"/>
              </w:rPr>
              <w:t>Storage - Unconditioned</w:t>
            </w:r>
          </w:p>
        </w:tc>
        <w:tc>
          <w:tcPr>
            <w:tcW w:w="1779" w:type="pct"/>
          </w:tcPr>
          <w:p w14:paraId="3F56D257" w14:textId="472D56EB"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00D0243C" w14:textId="316C4D7E" w:rsidR="00BC602C" w:rsidRPr="00920905" w:rsidRDefault="00BC602C" w:rsidP="00D72D0B">
            <w:pPr>
              <w:rPr>
                <w:rFonts w:cstheme="minorHAnsi"/>
                <w:color w:val="FF0000"/>
                <w:szCs w:val="20"/>
              </w:rPr>
            </w:pPr>
            <w:r>
              <w:rPr>
                <w:rFonts w:ascii="Calibri" w:hAnsi="Calibri" w:cs="Arial"/>
                <w:color w:val="000000"/>
                <w:szCs w:val="20"/>
              </w:rPr>
              <w:t>NON_RES</w:t>
            </w:r>
          </w:p>
        </w:tc>
      </w:tr>
      <w:tr w:rsidR="00BC602C" w:rsidRPr="00500C4E" w14:paraId="426FFC8B" w14:textId="77777777" w:rsidTr="00D72D0B">
        <w:tc>
          <w:tcPr>
            <w:tcW w:w="1686" w:type="pct"/>
          </w:tcPr>
          <w:p w14:paraId="73E4E352" w14:textId="22E59645" w:rsidR="00BC602C" w:rsidRPr="00920905" w:rsidRDefault="00BC602C" w:rsidP="00D72D0B">
            <w:pPr>
              <w:rPr>
                <w:rFonts w:cstheme="minorHAnsi"/>
                <w:color w:val="FF0000"/>
                <w:szCs w:val="20"/>
              </w:rPr>
            </w:pPr>
            <w:r>
              <w:rPr>
                <w:rFonts w:ascii="Calibri" w:hAnsi="Calibri" w:cs="Arial"/>
                <w:color w:val="000000"/>
                <w:szCs w:val="20"/>
              </w:rPr>
              <w:t>Warehouse - Refrigerated</w:t>
            </w:r>
          </w:p>
        </w:tc>
        <w:tc>
          <w:tcPr>
            <w:tcW w:w="1779" w:type="pct"/>
          </w:tcPr>
          <w:p w14:paraId="2EF1B468" w14:textId="5CC29115" w:rsidR="00BC602C" w:rsidRPr="00920905" w:rsidRDefault="00BC602C" w:rsidP="00D72D0B">
            <w:pPr>
              <w:rPr>
                <w:rFonts w:cstheme="minorHAnsi"/>
                <w:color w:val="FF0000"/>
                <w:szCs w:val="20"/>
              </w:rPr>
            </w:pPr>
            <w:r>
              <w:rPr>
                <w:rFonts w:ascii="Calibri" w:hAnsi="Calibri" w:cs="Arial"/>
                <w:color w:val="000000"/>
                <w:szCs w:val="20"/>
              </w:rPr>
              <w:t>DEER:Indoor_CFL_Ltg</w:t>
            </w:r>
          </w:p>
        </w:tc>
        <w:tc>
          <w:tcPr>
            <w:tcW w:w="1535" w:type="pct"/>
          </w:tcPr>
          <w:p w14:paraId="09A2B7C0" w14:textId="2F44BF6D" w:rsidR="00BC602C" w:rsidRPr="00920905" w:rsidRDefault="00BC602C" w:rsidP="00D72D0B">
            <w:pPr>
              <w:rPr>
                <w:rFonts w:cstheme="minorHAnsi"/>
                <w:color w:val="FF0000"/>
                <w:szCs w:val="20"/>
              </w:rPr>
            </w:pPr>
            <w:r>
              <w:rPr>
                <w:rFonts w:ascii="Calibri" w:hAnsi="Calibri" w:cs="Arial"/>
                <w:color w:val="000000"/>
                <w:szCs w:val="20"/>
              </w:rPr>
              <w:t>NON_RES</w:t>
            </w:r>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17" w:name="_MON_1399297811"/>
      <w:bookmarkStart w:id="18" w:name="_Toc214003097"/>
      <w:bookmarkEnd w:id="17"/>
      <w:r w:rsidRPr="00500C4E">
        <w:rPr>
          <w:rFonts w:asciiTheme="minorHAnsi" w:hAnsiTheme="minorHAnsi" w:cstheme="minorHAnsi"/>
        </w:rPr>
        <w:t>4.1 Base Case Cost</w:t>
      </w:r>
      <w:bookmarkEnd w:id="18"/>
    </w:p>
    <w:p w14:paraId="6CCEB788" w14:textId="2A588500" w:rsidR="00891823" w:rsidRPr="00096578" w:rsidRDefault="00891823" w:rsidP="00891823">
      <w:bookmarkStart w:id="19" w:name="_Toc214003098"/>
      <w:r w:rsidRPr="00096578">
        <w:t>Base case costs are</w:t>
      </w:r>
      <w:r w:rsidR="000F1211">
        <w:t xml:space="preserve"> developed</w:t>
      </w:r>
      <w:r w:rsidRPr="00096578">
        <w:t xml:space="preserve"> from the 2010-2012 WO017 Ex Ante Measure Cost Study Final Report</w:t>
      </w:r>
      <w:r>
        <w:t xml:space="preserve"> [475]</w:t>
      </w:r>
      <w:r w:rsidRPr="00096578">
        <w:t>.</w:t>
      </w:r>
      <w:r>
        <w:t xml:space="preserve"> For a complete breakdown of base case cost</w:t>
      </w:r>
      <w:r w:rsidR="0009490E">
        <w:t>s, please ref</w:t>
      </w:r>
      <w:r w:rsidR="00D72D0B">
        <w:t>er to Attachment 2</w:t>
      </w:r>
      <w:r w:rsidR="000F1211">
        <w:t>.</w:t>
      </w: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618197D0" w14:textId="0988B7A3" w:rsidR="000F1211" w:rsidRPr="00096578" w:rsidRDefault="00524B62" w:rsidP="000F1211">
      <w:r>
        <w:t>Measure</w:t>
      </w:r>
      <w:r w:rsidR="000F1211" w:rsidRPr="00096578">
        <w:t xml:space="preserve"> case costs are</w:t>
      </w:r>
      <w:r w:rsidR="000F1211">
        <w:t xml:space="preserve"> developed</w:t>
      </w:r>
      <w:r w:rsidR="000F1211" w:rsidRPr="00096578">
        <w:t xml:space="preserve"> from the 2010-2012 WO017 Ex Ante Measure Cost Study Final Report</w:t>
      </w:r>
      <w:r w:rsidR="000F1211">
        <w:t xml:space="preserve"> [475]</w:t>
      </w:r>
      <w:r w:rsidR="000F1211" w:rsidRPr="00096578">
        <w:t>.</w:t>
      </w:r>
      <w:r w:rsidR="000F1211">
        <w:t xml:space="preserve"> For a complete breakdown of measure case costs, </w:t>
      </w:r>
      <w:r w:rsidR="00D72D0B">
        <w:t>please refer to Attachment 2</w:t>
      </w:r>
      <w:r w:rsidR="000F1211">
        <w:t>.</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19"/>
    </w:p>
    <w:p w14:paraId="57201E84" w14:textId="77777777" w:rsidR="00207BE0" w:rsidRDefault="00207BE0">
      <w:pPr>
        <w:rPr>
          <w:b/>
        </w:rPr>
      </w:pPr>
    </w:p>
    <w:p w14:paraId="063F8DF1" w14:textId="77777777" w:rsidR="00207BE0" w:rsidRDefault="00207BE0">
      <w:pPr>
        <w:rPr>
          <w:b/>
        </w:rPr>
      </w:pPr>
    </w:p>
    <w:p w14:paraId="4F34FDD0" w14:textId="77777777" w:rsidR="00207BE0" w:rsidRDefault="00207BE0">
      <w:pPr>
        <w:rPr>
          <w:b/>
        </w:rPr>
      </w:pPr>
    </w:p>
    <w:p w14:paraId="3EF9F54C" w14:textId="77777777" w:rsidR="00207BE0" w:rsidRDefault="00207BE0">
      <w:pPr>
        <w:rPr>
          <w:b/>
        </w:rPr>
      </w:pPr>
    </w:p>
    <w:p w14:paraId="16442B32" w14:textId="77777777" w:rsidR="00207BE0" w:rsidRDefault="00207BE0">
      <w:pPr>
        <w:rPr>
          <w:b/>
        </w:rPr>
      </w:pPr>
    </w:p>
    <w:p w14:paraId="5039D4AF" w14:textId="77777777" w:rsidR="00207BE0" w:rsidRDefault="00207BE0">
      <w:pPr>
        <w:rPr>
          <w:b/>
        </w:rPr>
      </w:pPr>
    </w:p>
    <w:p w14:paraId="55A12E44" w14:textId="77777777" w:rsidR="00207BE0" w:rsidRDefault="00207BE0">
      <w:pPr>
        <w:rPr>
          <w:b/>
        </w:rPr>
      </w:pPr>
    </w:p>
    <w:p w14:paraId="2378C7BD" w14:textId="77777777" w:rsidR="00207BE0" w:rsidRDefault="00207BE0">
      <w:pPr>
        <w:rPr>
          <w:b/>
        </w:rPr>
      </w:pPr>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20905">
        <w:tc>
          <w:tcPr>
            <w:tcW w:w="672"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A84BF9">
        <w:tc>
          <w:tcPr>
            <w:tcW w:w="672" w:type="pct"/>
          </w:tcPr>
          <w:p w14:paraId="5021CC5B" w14:textId="77777777" w:rsidR="009C6FE0" w:rsidRPr="00DE77D0" w:rsidRDefault="009C6FE0" w:rsidP="00A84BF9">
            <w:pPr>
              <w:rPr>
                <w:rFonts w:cstheme="minorHAnsi"/>
                <w:szCs w:val="20"/>
              </w:rPr>
            </w:pPr>
            <w:r>
              <w:rPr>
                <w:rFonts w:cstheme="minorHAnsi"/>
                <w:szCs w:val="20"/>
              </w:rPr>
              <w:t>REF</w:t>
            </w:r>
          </w:p>
        </w:tc>
        <w:tc>
          <w:tcPr>
            <w:tcW w:w="1443" w:type="pct"/>
          </w:tcPr>
          <w:p w14:paraId="3BA9A303" w14:textId="77777777" w:rsidR="009C6FE0" w:rsidRPr="00DE77D0" w:rsidRDefault="009C6FE0" w:rsidP="00A84BF9">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A84BF9">
            <w:pPr>
              <w:rPr>
                <w:rFonts w:cstheme="minorHAnsi"/>
                <w:szCs w:val="20"/>
              </w:rPr>
            </w:pPr>
            <w:r>
              <w:rPr>
                <w:rFonts w:cstheme="minorHAnsi"/>
                <w:szCs w:val="20"/>
              </w:rPr>
              <w:t>MEC + MLC</w:t>
            </w:r>
          </w:p>
        </w:tc>
        <w:tc>
          <w:tcPr>
            <w:tcW w:w="1489" w:type="pct"/>
          </w:tcPr>
          <w:p w14:paraId="1C9B3EB4" w14:textId="77777777" w:rsidR="009C6FE0" w:rsidRPr="00DE77D0" w:rsidRDefault="009C6FE0" w:rsidP="00A84BF9">
            <w:pPr>
              <w:rPr>
                <w:rFonts w:cstheme="minorHAnsi"/>
                <w:szCs w:val="20"/>
              </w:rPr>
            </w:pPr>
            <w:r>
              <w:rPr>
                <w:rFonts w:cstheme="minorHAnsi"/>
                <w:szCs w:val="20"/>
              </w:rPr>
              <w:t>N/A</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B074122" w14:textId="15964617" w:rsidR="00891823" w:rsidRPr="00920905" w:rsidRDefault="00891823" w:rsidP="00891823">
      <w:pPr>
        <w:rPr>
          <w:sz w:val="20"/>
          <w:szCs w:val="20"/>
        </w:rPr>
      </w:pPr>
      <w:bookmarkStart w:id="20" w:name="_Toc214003099"/>
      <w:r>
        <w:t>For a complete breakdown of full and incremental measure costs, please refer to Attachment 1.</w:t>
      </w:r>
    </w:p>
    <w:p w14:paraId="37E9FBDB" w14:textId="754E7BBE" w:rsidR="00E16609" w:rsidRPr="00920905" w:rsidRDefault="00E16609">
      <w:pPr>
        <w:rPr>
          <w:rFonts w:cstheme="minorHAnsi"/>
          <w:sz w:val="20"/>
          <w:szCs w:val="20"/>
        </w:rPr>
      </w:pPr>
      <w:r w:rsidRPr="00920905">
        <w:rPr>
          <w:rFonts w:cstheme="minorHAnsi"/>
          <w:sz w:val="20"/>
          <w:szCs w:val="20"/>
        </w:rPr>
        <w:br w:type="page"/>
      </w:r>
    </w:p>
    <w:bookmarkEnd w:id="20"/>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298DE117" w14:textId="45853DCA" w:rsidR="00AB36DB" w:rsidRDefault="00C77C62" w:rsidP="00C77C62">
      <w:pPr>
        <w:pStyle w:val="Reminders"/>
        <w:numPr>
          <w:ilvl w:val="0"/>
          <w:numId w:val="41"/>
        </w:numPr>
        <w:rPr>
          <w:rFonts w:asciiTheme="minorHAnsi" w:hAnsiTheme="minorHAnsi" w:cstheme="minorHAnsi"/>
          <w:i w:val="0"/>
          <w:color w:val="auto"/>
          <w:szCs w:val="22"/>
        </w:rPr>
      </w:pPr>
      <w:r w:rsidRPr="00C77C62">
        <w:rPr>
          <w:rFonts w:asciiTheme="minorHAnsi" w:hAnsiTheme="minorHAnsi" w:cstheme="minorHAnsi"/>
          <w:i w:val="0"/>
          <w:color w:val="auto"/>
          <w:szCs w:val="22"/>
        </w:rPr>
        <w:t>SCE17LG086.0 A1 - Calculation Template_Final.zip</w:t>
      </w:r>
    </w:p>
    <w:p w14:paraId="78940F04" w14:textId="77777777" w:rsidR="00AA58F3" w:rsidRDefault="00AA58F3" w:rsidP="00AA58F3">
      <w:pPr>
        <w:pStyle w:val="Reminders"/>
        <w:ind w:left="720"/>
        <w:rPr>
          <w:rFonts w:asciiTheme="minorHAnsi" w:hAnsiTheme="minorHAnsi" w:cstheme="minorHAnsi"/>
          <w:i w:val="0"/>
          <w:color w:val="auto"/>
          <w:szCs w:val="22"/>
        </w:rPr>
      </w:pPr>
    </w:p>
    <w:p w14:paraId="1183A525" w14:textId="18F68CD3" w:rsidR="000F1211" w:rsidRDefault="00C77C62" w:rsidP="00C77C62">
      <w:pPr>
        <w:pStyle w:val="Reminders"/>
        <w:numPr>
          <w:ilvl w:val="0"/>
          <w:numId w:val="41"/>
        </w:numPr>
        <w:rPr>
          <w:rFonts w:asciiTheme="minorHAnsi" w:hAnsiTheme="minorHAnsi" w:cstheme="minorHAnsi"/>
          <w:i w:val="0"/>
          <w:color w:val="auto"/>
          <w:szCs w:val="22"/>
        </w:rPr>
      </w:pPr>
      <w:r w:rsidRPr="00C77C62">
        <w:rPr>
          <w:rFonts w:asciiTheme="minorHAnsi" w:hAnsiTheme="minorHAnsi" w:cstheme="minorHAnsi"/>
          <w:i w:val="0"/>
          <w:color w:val="auto"/>
          <w:szCs w:val="22"/>
        </w:rPr>
        <w:t>SCE17LG086.0 A2 - WO17 Lighting Cost Calculator.xlsx</w:t>
      </w:r>
    </w:p>
    <w:p w14:paraId="77C6D427" w14:textId="77777777" w:rsidR="000F1211" w:rsidRDefault="000F1211" w:rsidP="00E40CF9">
      <w:pPr>
        <w:pStyle w:val="Reminders"/>
        <w:rPr>
          <w:rFonts w:asciiTheme="minorHAnsi" w:hAnsiTheme="minorHAnsi" w:cstheme="minorHAnsi"/>
          <w:i w:val="0"/>
          <w:color w:val="auto"/>
          <w:szCs w:val="22"/>
        </w:rPr>
      </w:pPr>
    </w:p>
    <w:p w14:paraId="5D9A24FD" w14:textId="77777777" w:rsidR="000F1211" w:rsidRPr="00891823" w:rsidRDefault="000F1211" w:rsidP="00E40CF9">
      <w:pPr>
        <w:pStyle w:val="Reminders"/>
        <w:rPr>
          <w:rFonts w:asciiTheme="minorHAnsi" w:hAnsiTheme="minorHAnsi" w:cstheme="minorHAnsi"/>
          <w:i w:val="0"/>
          <w:color w:val="auto"/>
          <w:szCs w:val="22"/>
        </w:rPr>
      </w:pPr>
    </w:p>
    <w:p w14:paraId="4300E814" w14:textId="77777777" w:rsidR="00A500D6" w:rsidRPr="00500C4E" w:rsidRDefault="00A500D6" w:rsidP="001C47CA">
      <w:pPr>
        <w:pStyle w:val="Reminders"/>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69CD2AAE" w14:textId="77777777" w:rsidR="00891823" w:rsidRDefault="00C54EFF" w:rsidP="00C54EFF">
      <w:pPr>
        <w:pStyle w:val="Heading1"/>
        <w:rPr>
          <w:rFonts w:cstheme="minorHAnsi"/>
        </w:rPr>
      </w:pPr>
      <w:r w:rsidRPr="00500C4E">
        <w:rPr>
          <w:rFonts w:cstheme="minorHAnsi"/>
        </w:rPr>
        <w:lastRenderedPageBreak/>
        <w:t>References</w:t>
      </w:r>
    </w:p>
    <w:p w14:paraId="3C6C156C" w14:textId="57721897" w:rsidR="00C54EFF" w:rsidRPr="00C77C62" w:rsidRDefault="00C77C62" w:rsidP="00C77C62">
      <w:pPr>
        <w:pStyle w:val="Reminders"/>
        <w:numPr>
          <w:ilvl w:val="0"/>
          <w:numId w:val="45"/>
        </w:numPr>
        <w:rPr>
          <w:rFonts w:asciiTheme="minorHAnsi" w:hAnsiTheme="minorHAnsi" w:cstheme="minorHAnsi"/>
          <w:i w:val="0"/>
          <w:color w:val="auto"/>
          <w:szCs w:val="22"/>
        </w:rPr>
      </w:pPr>
      <w:r w:rsidRPr="00C77C62">
        <w:rPr>
          <w:rFonts w:asciiTheme="minorHAnsi" w:hAnsiTheme="minorHAnsi" w:cstheme="minorHAnsi"/>
          <w:i w:val="0"/>
          <w:color w:val="auto"/>
          <w:szCs w:val="22"/>
        </w:rPr>
        <w:t>References_12122016_100741.xlsx</w:t>
      </w:r>
      <w:bookmarkStart w:id="21" w:name="_GoBack"/>
      <w:bookmarkEnd w:id="21"/>
    </w:p>
    <w:tbl>
      <w:tblPr>
        <w:tblW w:w="9666" w:type="dxa"/>
        <w:tblInd w:w="93" w:type="dxa"/>
        <w:tblLook w:val="04A0" w:firstRow="1" w:lastRow="0" w:firstColumn="1" w:lastColumn="0" w:noHBand="0" w:noVBand="1"/>
      </w:tblPr>
      <w:tblGrid>
        <w:gridCol w:w="686"/>
        <w:gridCol w:w="8980"/>
      </w:tblGrid>
      <w:tr w:rsidR="00226C91" w:rsidRPr="00C27186" w14:paraId="0EA53EE4" w14:textId="77777777" w:rsidTr="009E27B6">
        <w:trPr>
          <w:trHeight w:val="300"/>
        </w:trPr>
        <w:tc>
          <w:tcPr>
            <w:tcW w:w="686" w:type="dxa"/>
            <w:tcBorders>
              <w:top w:val="nil"/>
              <w:left w:val="nil"/>
              <w:bottom w:val="nil"/>
              <w:right w:val="nil"/>
            </w:tcBorders>
            <w:shd w:val="clear" w:color="auto" w:fill="auto"/>
            <w:noWrap/>
            <w:vAlign w:val="bottom"/>
            <w:hideMark/>
          </w:tcPr>
          <w:p w14:paraId="1836A723" w14:textId="654AF87E" w:rsidR="00226C91" w:rsidRPr="00C27186" w:rsidRDefault="00226C91" w:rsidP="00226C91">
            <w:pPr>
              <w:rPr>
                <w:rFonts w:ascii="Calibri" w:hAnsi="Calibri"/>
                <w:color w:val="000000"/>
                <w:szCs w:val="22"/>
              </w:rPr>
            </w:pPr>
            <w:r>
              <w:rPr>
                <w:rFonts w:ascii="Calibri" w:hAnsi="Calibri"/>
                <w:color w:val="000000"/>
                <w:szCs w:val="22"/>
              </w:rPr>
              <w:t>[475]</w:t>
            </w:r>
          </w:p>
        </w:tc>
        <w:tc>
          <w:tcPr>
            <w:tcW w:w="8980" w:type="dxa"/>
            <w:tcBorders>
              <w:top w:val="nil"/>
              <w:left w:val="nil"/>
              <w:bottom w:val="nil"/>
              <w:right w:val="nil"/>
            </w:tcBorders>
            <w:shd w:val="clear" w:color="auto" w:fill="auto"/>
            <w:noWrap/>
            <w:vAlign w:val="bottom"/>
            <w:hideMark/>
          </w:tcPr>
          <w:p w14:paraId="03B69600" w14:textId="1692867E" w:rsidR="00226C91" w:rsidRPr="00C27186" w:rsidRDefault="00226C91" w:rsidP="00226C91">
            <w:pPr>
              <w:rPr>
                <w:rFonts w:ascii="Calibri" w:hAnsi="Calibri"/>
                <w:color w:val="000000"/>
                <w:szCs w:val="22"/>
              </w:rPr>
            </w:pPr>
            <w:r>
              <w:rPr>
                <w:rFonts w:ascii="Calibri" w:hAnsi="Calibri"/>
                <w:color w:val="000000"/>
                <w:szCs w:val="22"/>
              </w:rPr>
              <w:t>2010-2012 WO017 Ex Ante Measure Cost Study Final Report</w:t>
            </w:r>
          </w:p>
        </w:tc>
      </w:tr>
      <w:tr w:rsidR="00226C91" w14:paraId="7BF89746" w14:textId="77777777" w:rsidTr="009E27B6">
        <w:trPr>
          <w:trHeight w:val="300"/>
        </w:trPr>
        <w:tc>
          <w:tcPr>
            <w:tcW w:w="686" w:type="dxa"/>
            <w:tcBorders>
              <w:top w:val="nil"/>
              <w:left w:val="nil"/>
              <w:bottom w:val="nil"/>
              <w:right w:val="nil"/>
            </w:tcBorders>
            <w:shd w:val="clear" w:color="auto" w:fill="auto"/>
            <w:noWrap/>
            <w:vAlign w:val="bottom"/>
          </w:tcPr>
          <w:p w14:paraId="746A6FD7" w14:textId="05E31D36" w:rsidR="00226C91" w:rsidRPr="00C27186" w:rsidRDefault="00226C91" w:rsidP="009E27B6">
            <w:pPr>
              <w:rPr>
                <w:rFonts w:ascii="Calibri" w:hAnsi="Calibri"/>
                <w:color w:val="000000"/>
                <w:szCs w:val="22"/>
              </w:rPr>
            </w:pPr>
            <w:r>
              <w:rPr>
                <w:rFonts w:ascii="Calibri" w:hAnsi="Calibri"/>
                <w:color w:val="000000"/>
                <w:szCs w:val="22"/>
              </w:rPr>
              <w:t>[493]</w:t>
            </w:r>
          </w:p>
        </w:tc>
        <w:tc>
          <w:tcPr>
            <w:tcW w:w="8980" w:type="dxa"/>
            <w:tcBorders>
              <w:top w:val="nil"/>
              <w:left w:val="nil"/>
              <w:bottom w:val="nil"/>
              <w:right w:val="nil"/>
            </w:tcBorders>
            <w:shd w:val="clear" w:color="auto" w:fill="auto"/>
            <w:noWrap/>
            <w:vAlign w:val="bottom"/>
          </w:tcPr>
          <w:p w14:paraId="32518218" w14:textId="74F1201B" w:rsidR="00226C91" w:rsidRDefault="00226C91" w:rsidP="009E27B6">
            <w:pPr>
              <w:rPr>
                <w:rFonts w:ascii="Calibri" w:hAnsi="Calibri"/>
                <w:color w:val="000000"/>
                <w:szCs w:val="22"/>
              </w:rPr>
            </w:pPr>
            <w:r>
              <w:rPr>
                <w:rFonts w:ascii="Calibri" w:hAnsi="Calibri"/>
                <w:color w:val="000000"/>
                <w:szCs w:val="22"/>
              </w:rPr>
              <w:t>2015 Appliance Efficiency Regulations (Title 20)</w:t>
            </w:r>
          </w:p>
        </w:tc>
      </w:tr>
      <w:tr w:rsidR="00226C91" w14:paraId="4E12188C" w14:textId="77777777" w:rsidTr="009E27B6">
        <w:trPr>
          <w:trHeight w:val="300"/>
        </w:trPr>
        <w:tc>
          <w:tcPr>
            <w:tcW w:w="686" w:type="dxa"/>
            <w:tcBorders>
              <w:top w:val="nil"/>
              <w:left w:val="nil"/>
              <w:bottom w:val="nil"/>
              <w:right w:val="nil"/>
            </w:tcBorders>
            <w:shd w:val="clear" w:color="auto" w:fill="auto"/>
            <w:noWrap/>
            <w:vAlign w:val="bottom"/>
          </w:tcPr>
          <w:p w14:paraId="0AD0605A" w14:textId="2C49943D" w:rsidR="00226C91" w:rsidRDefault="00226C91" w:rsidP="009E27B6">
            <w:pPr>
              <w:rPr>
                <w:rFonts w:ascii="Calibri" w:hAnsi="Calibri"/>
                <w:color w:val="000000"/>
                <w:szCs w:val="22"/>
              </w:rPr>
            </w:pPr>
            <w:r w:rsidRPr="00C27186">
              <w:rPr>
                <w:rFonts w:ascii="Calibri" w:hAnsi="Calibri"/>
                <w:color w:val="000000"/>
                <w:szCs w:val="22"/>
              </w:rPr>
              <w:t>[</w:t>
            </w:r>
            <w:r>
              <w:rPr>
                <w:rFonts w:ascii="Calibri" w:hAnsi="Calibri"/>
                <w:color w:val="000000"/>
                <w:szCs w:val="22"/>
              </w:rPr>
              <w:t>496</w:t>
            </w:r>
            <w:r w:rsidRPr="00C27186">
              <w:rPr>
                <w:rFonts w:ascii="Calibri" w:hAnsi="Calibri"/>
                <w:color w:val="000000"/>
                <w:szCs w:val="22"/>
              </w:rPr>
              <w:t>]</w:t>
            </w:r>
          </w:p>
        </w:tc>
        <w:tc>
          <w:tcPr>
            <w:tcW w:w="8980" w:type="dxa"/>
            <w:tcBorders>
              <w:top w:val="nil"/>
              <w:left w:val="nil"/>
              <w:bottom w:val="nil"/>
              <w:right w:val="nil"/>
            </w:tcBorders>
            <w:shd w:val="clear" w:color="auto" w:fill="auto"/>
            <w:noWrap/>
            <w:vAlign w:val="bottom"/>
          </w:tcPr>
          <w:p w14:paraId="770D235A" w14:textId="35A85B23" w:rsidR="00226C91" w:rsidRDefault="00226C91" w:rsidP="009E27B6">
            <w:pPr>
              <w:rPr>
                <w:rFonts w:ascii="Calibri" w:hAnsi="Calibri"/>
                <w:color w:val="000000"/>
                <w:szCs w:val="22"/>
              </w:rPr>
            </w:pPr>
            <w:r w:rsidRPr="00C27186">
              <w:rPr>
                <w:rFonts w:ascii="Calibri" w:hAnsi="Calibri"/>
                <w:color w:val="000000"/>
                <w:szCs w:val="22"/>
              </w:rPr>
              <w:t>201</w:t>
            </w:r>
            <w:r>
              <w:rPr>
                <w:rFonts w:ascii="Calibri" w:hAnsi="Calibri"/>
                <w:color w:val="000000"/>
                <w:szCs w:val="22"/>
              </w:rPr>
              <w:t>6</w:t>
            </w:r>
            <w:r w:rsidRPr="00C27186">
              <w:rPr>
                <w:rFonts w:ascii="Calibri" w:hAnsi="Calibri"/>
                <w:color w:val="000000"/>
                <w:szCs w:val="22"/>
              </w:rPr>
              <w:t xml:space="preserve"> Building Energy Efficiency Standards for Residential and Nonresidential Buildings (Title 24)</w:t>
            </w:r>
          </w:p>
        </w:tc>
      </w:tr>
      <w:tr w:rsidR="00226C91" w14:paraId="743C3E00" w14:textId="77777777" w:rsidTr="009E27B6">
        <w:trPr>
          <w:trHeight w:val="300"/>
        </w:trPr>
        <w:tc>
          <w:tcPr>
            <w:tcW w:w="686" w:type="dxa"/>
            <w:tcBorders>
              <w:top w:val="nil"/>
              <w:left w:val="nil"/>
              <w:bottom w:val="nil"/>
              <w:right w:val="nil"/>
            </w:tcBorders>
            <w:shd w:val="clear" w:color="auto" w:fill="auto"/>
            <w:noWrap/>
            <w:vAlign w:val="bottom"/>
          </w:tcPr>
          <w:p w14:paraId="5DEE2AFD" w14:textId="4E8BEAB5" w:rsidR="00226C91" w:rsidRDefault="00226C91" w:rsidP="00226C91">
            <w:pPr>
              <w:rPr>
                <w:rFonts w:ascii="Calibri" w:hAnsi="Calibri"/>
                <w:color w:val="000000"/>
                <w:szCs w:val="22"/>
              </w:rPr>
            </w:pPr>
          </w:p>
        </w:tc>
        <w:tc>
          <w:tcPr>
            <w:tcW w:w="8980" w:type="dxa"/>
            <w:tcBorders>
              <w:top w:val="nil"/>
              <w:left w:val="nil"/>
              <w:bottom w:val="nil"/>
              <w:right w:val="nil"/>
            </w:tcBorders>
            <w:shd w:val="clear" w:color="auto" w:fill="auto"/>
            <w:noWrap/>
            <w:vAlign w:val="bottom"/>
          </w:tcPr>
          <w:p w14:paraId="14F41E54" w14:textId="6E9B1545" w:rsidR="00226C91" w:rsidRDefault="00226C91" w:rsidP="00226C91">
            <w:pPr>
              <w:rPr>
                <w:rFonts w:ascii="Calibri" w:hAnsi="Calibri"/>
                <w:color w:val="000000"/>
                <w:szCs w:val="22"/>
              </w:rPr>
            </w:pPr>
          </w:p>
        </w:tc>
      </w:tr>
      <w:tr w:rsidR="00226C91" w14:paraId="72E9E83B" w14:textId="77777777" w:rsidTr="009E27B6">
        <w:trPr>
          <w:trHeight w:val="300"/>
        </w:trPr>
        <w:tc>
          <w:tcPr>
            <w:tcW w:w="686" w:type="dxa"/>
            <w:tcBorders>
              <w:top w:val="nil"/>
              <w:left w:val="nil"/>
              <w:bottom w:val="nil"/>
              <w:right w:val="nil"/>
            </w:tcBorders>
            <w:shd w:val="clear" w:color="auto" w:fill="auto"/>
            <w:noWrap/>
            <w:vAlign w:val="bottom"/>
          </w:tcPr>
          <w:p w14:paraId="74294199" w14:textId="74B78DD6" w:rsidR="00226C91" w:rsidRDefault="00226C91" w:rsidP="00226C91">
            <w:pPr>
              <w:rPr>
                <w:rFonts w:ascii="Calibri" w:hAnsi="Calibri"/>
                <w:color w:val="000000"/>
                <w:szCs w:val="22"/>
              </w:rPr>
            </w:pPr>
          </w:p>
        </w:tc>
        <w:tc>
          <w:tcPr>
            <w:tcW w:w="8980" w:type="dxa"/>
            <w:tcBorders>
              <w:top w:val="nil"/>
              <w:left w:val="nil"/>
              <w:bottom w:val="nil"/>
              <w:right w:val="nil"/>
            </w:tcBorders>
            <w:shd w:val="clear" w:color="auto" w:fill="auto"/>
            <w:noWrap/>
            <w:vAlign w:val="bottom"/>
          </w:tcPr>
          <w:p w14:paraId="6DC67E58" w14:textId="68B7F825" w:rsidR="00226C91" w:rsidRDefault="00226C91" w:rsidP="00226C91">
            <w:pPr>
              <w:rPr>
                <w:rFonts w:ascii="Calibri" w:hAnsi="Calibri"/>
                <w:color w:val="000000"/>
                <w:szCs w:val="22"/>
              </w:rPr>
            </w:pPr>
          </w:p>
        </w:tc>
      </w:tr>
      <w:tr w:rsidR="00226C91" w14:paraId="647A53B2" w14:textId="77777777" w:rsidTr="009E27B6">
        <w:trPr>
          <w:trHeight w:val="300"/>
        </w:trPr>
        <w:tc>
          <w:tcPr>
            <w:tcW w:w="686" w:type="dxa"/>
            <w:tcBorders>
              <w:top w:val="nil"/>
              <w:left w:val="nil"/>
              <w:bottom w:val="nil"/>
              <w:right w:val="nil"/>
            </w:tcBorders>
            <w:shd w:val="clear" w:color="auto" w:fill="auto"/>
            <w:noWrap/>
            <w:vAlign w:val="bottom"/>
          </w:tcPr>
          <w:p w14:paraId="796A1458" w14:textId="28432AE9" w:rsidR="00226C91" w:rsidRDefault="00226C91" w:rsidP="00226C91">
            <w:pPr>
              <w:rPr>
                <w:rFonts w:ascii="Calibri" w:hAnsi="Calibri"/>
                <w:color w:val="000000"/>
                <w:szCs w:val="22"/>
              </w:rPr>
            </w:pPr>
          </w:p>
        </w:tc>
        <w:tc>
          <w:tcPr>
            <w:tcW w:w="8980" w:type="dxa"/>
            <w:tcBorders>
              <w:top w:val="nil"/>
              <w:left w:val="nil"/>
              <w:bottom w:val="nil"/>
              <w:right w:val="nil"/>
            </w:tcBorders>
            <w:shd w:val="clear" w:color="auto" w:fill="auto"/>
            <w:noWrap/>
            <w:vAlign w:val="bottom"/>
          </w:tcPr>
          <w:p w14:paraId="759B5E37" w14:textId="47D74371" w:rsidR="00226C91" w:rsidRDefault="00226C91" w:rsidP="00226C91">
            <w:pPr>
              <w:rPr>
                <w:rFonts w:ascii="Calibri" w:hAnsi="Calibri"/>
                <w:color w:val="000000"/>
                <w:szCs w:val="22"/>
              </w:rPr>
            </w:pPr>
          </w:p>
        </w:tc>
      </w:tr>
    </w:tbl>
    <w:p w14:paraId="684773E9" w14:textId="5C2C6E81" w:rsidR="00891823" w:rsidRPr="00891823" w:rsidRDefault="00891823" w:rsidP="00891823"/>
    <w:sectPr w:rsidR="00891823" w:rsidRPr="00891823" w:rsidSect="00E87C8F">
      <w:footerReference w:type="default" r:id="rId11"/>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911000" w14:textId="77777777" w:rsidR="006A0D7B" w:rsidRDefault="006A0D7B" w:rsidP="00447D6E">
      <w:r>
        <w:separator/>
      </w:r>
    </w:p>
    <w:p w14:paraId="281F7FF5" w14:textId="77777777" w:rsidR="006A0D7B" w:rsidRDefault="006A0D7B"/>
  </w:endnote>
  <w:endnote w:type="continuationSeparator" w:id="0">
    <w:p w14:paraId="55BC68CD" w14:textId="77777777" w:rsidR="006A0D7B" w:rsidRDefault="006A0D7B" w:rsidP="00447D6E">
      <w:r>
        <w:continuationSeparator/>
      </w:r>
    </w:p>
    <w:p w14:paraId="380D6374" w14:textId="77777777" w:rsidR="006A0D7B" w:rsidRDefault="006A0D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1FEFDC74" w:rsidR="006A0D7B" w:rsidRDefault="00C77C62"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6-11-18T00:00:00Z">
          <w:dateFormat w:val="MMMM d, yyyy"/>
          <w:lid w:val="en-US"/>
          <w:storeMappedDataAs w:val="dateTime"/>
          <w:calendar w:val="gregorian"/>
        </w:date>
      </w:sdtPr>
      <w:sdtEndPr/>
      <w:sdtContent>
        <w:r w:rsidR="006A0D7B">
          <w:rPr>
            <w:rFonts w:cstheme="minorHAnsi"/>
            <w:b/>
            <w:sz w:val="36"/>
            <w:szCs w:val="36"/>
          </w:rPr>
          <w:t>November 18, 2016</w:t>
        </w:r>
      </w:sdtContent>
    </w:sdt>
  </w:p>
  <w:p w14:paraId="650DB54B" w14:textId="670C7D5C" w:rsidR="006A0D7B" w:rsidRPr="009500DC" w:rsidRDefault="006A0D7B"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359DACEC" w:rsidR="006A0D7B" w:rsidRPr="009500DC" w:rsidRDefault="00C77C62"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6A0D7B">
          <w:rPr>
            <w:rFonts w:cstheme="minorHAnsi"/>
            <w:b/>
            <w:sz w:val="20"/>
            <w:szCs w:val="20"/>
          </w:rPr>
          <w:t>SCE17LG086</w:t>
        </w:r>
      </w:sdtContent>
    </w:sdt>
    <w:r w:rsidR="006A0D7B">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6A0D7B">
          <w:rPr>
            <w:rFonts w:cstheme="minorHAnsi"/>
            <w:b/>
            <w:sz w:val="20"/>
            <w:szCs w:val="20"/>
          </w:rPr>
          <w:t>Revision 0</w:t>
        </w:r>
      </w:sdtContent>
    </w:sdt>
    <w:r w:rsidR="006A0D7B" w:rsidRPr="009500DC">
      <w:rPr>
        <w:rFonts w:cstheme="minorHAnsi"/>
        <w:b/>
        <w:sz w:val="20"/>
        <w:szCs w:val="20"/>
      </w:rPr>
      <w:tab/>
    </w:r>
    <w:r w:rsidR="006A0D7B" w:rsidRPr="009500DC">
      <w:rPr>
        <w:rFonts w:cstheme="minorHAnsi"/>
        <w:b/>
        <w:sz w:val="20"/>
        <w:szCs w:val="20"/>
      </w:rPr>
      <w:fldChar w:fldCharType="begin"/>
    </w:r>
    <w:r w:rsidR="006A0D7B" w:rsidRPr="009500DC">
      <w:rPr>
        <w:rFonts w:cstheme="minorHAnsi"/>
        <w:b/>
        <w:sz w:val="20"/>
        <w:szCs w:val="20"/>
      </w:rPr>
      <w:instrText xml:space="preserve"> PAGE   \* MERGEFORMAT </w:instrText>
    </w:r>
    <w:r w:rsidR="006A0D7B" w:rsidRPr="009500DC">
      <w:rPr>
        <w:rFonts w:cstheme="minorHAnsi"/>
        <w:b/>
        <w:sz w:val="20"/>
        <w:szCs w:val="20"/>
      </w:rPr>
      <w:fldChar w:fldCharType="separate"/>
    </w:r>
    <w:r>
      <w:rPr>
        <w:rFonts w:cstheme="minorHAnsi"/>
        <w:b/>
        <w:noProof/>
        <w:sz w:val="20"/>
        <w:szCs w:val="20"/>
      </w:rPr>
      <w:t>13</w:t>
    </w:r>
    <w:r w:rsidR="006A0D7B" w:rsidRPr="009500DC">
      <w:rPr>
        <w:rFonts w:cstheme="minorHAnsi"/>
        <w:b/>
        <w:noProof/>
        <w:sz w:val="20"/>
        <w:szCs w:val="20"/>
      </w:rPr>
      <w:fldChar w:fldCharType="end"/>
    </w:r>
    <w:r w:rsidR="006A0D7B"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11-18T00:00:00Z">
          <w:dateFormat w:val="MMMM d, yyyy"/>
          <w:lid w:val="en-US"/>
          <w:storeMappedDataAs w:val="dateTime"/>
          <w:calendar w:val="gregorian"/>
        </w:date>
      </w:sdtPr>
      <w:sdtEndPr/>
      <w:sdtContent>
        <w:r w:rsidR="006A0D7B">
          <w:rPr>
            <w:rFonts w:cstheme="minorHAnsi"/>
            <w:b/>
            <w:sz w:val="20"/>
            <w:szCs w:val="20"/>
          </w:rPr>
          <w:t>November 18, 2016</w:t>
        </w:r>
      </w:sdtContent>
    </w:sdt>
  </w:p>
  <w:p w14:paraId="43C07EA5" w14:textId="544E4323" w:rsidR="006A0D7B" w:rsidRPr="009500DC" w:rsidRDefault="00C77C62"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6A0D7B">
          <w:rPr>
            <w:rFonts w:cstheme="minorHAnsi"/>
            <w:b/>
            <w:sz w:val="20"/>
            <w:szCs w:val="20"/>
          </w:rPr>
          <w:t>Southern California Edison</w:t>
        </w:r>
      </w:sdtContent>
    </w:sdt>
  </w:p>
  <w:p w14:paraId="4AC7586E" w14:textId="77777777" w:rsidR="006A0D7B" w:rsidRDefault="006A0D7B"/>
  <w:p w14:paraId="5C9861A8" w14:textId="77777777" w:rsidR="006A0D7B" w:rsidRDefault="006A0D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24F453" w14:textId="77777777" w:rsidR="006A0D7B" w:rsidRDefault="006A0D7B" w:rsidP="00447D6E">
      <w:r>
        <w:separator/>
      </w:r>
    </w:p>
    <w:p w14:paraId="18BDBC77" w14:textId="77777777" w:rsidR="006A0D7B" w:rsidRDefault="006A0D7B"/>
  </w:footnote>
  <w:footnote w:type="continuationSeparator" w:id="0">
    <w:p w14:paraId="465B8593" w14:textId="77777777" w:rsidR="006A0D7B" w:rsidRDefault="006A0D7B" w:rsidP="00447D6E">
      <w:r>
        <w:continuationSeparator/>
      </w:r>
    </w:p>
    <w:p w14:paraId="40203B88" w14:textId="77777777" w:rsidR="006A0D7B" w:rsidRDefault="006A0D7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0C92A8B"/>
    <w:multiLevelType w:val="hybridMultilevel"/>
    <w:tmpl w:val="2FBC9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CD0D2E"/>
    <w:multiLevelType w:val="hybridMultilevel"/>
    <w:tmpl w:val="C088A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D714D4"/>
    <w:multiLevelType w:val="hybridMultilevel"/>
    <w:tmpl w:val="3488B3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BF85ED1"/>
    <w:multiLevelType w:val="hybridMultilevel"/>
    <w:tmpl w:val="A9047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3171CB"/>
    <w:multiLevelType w:val="hybridMultilevel"/>
    <w:tmpl w:val="2FBC9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2328EF"/>
    <w:multiLevelType w:val="hybridMultilevel"/>
    <w:tmpl w:val="35C67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F757D9A"/>
    <w:multiLevelType w:val="hybridMultilevel"/>
    <w:tmpl w:val="D7A67C52"/>
    <w:lvl w:ilvl="0" w:tplc="58AC4956">
      <w:start w:val="1"/>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8E0051"/>
    <w:multiLevelType w:val="hybridMultilevel"/>
    <w:tmpl w:val="9B1AB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90184E"/>
    <w:multiLevelType w:val="hybridMultilevel"/>
    <w:tmpl w:val="2CBE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D605DB"/>
    <w:multiLevelType w:val="hybridMultilevel"/>
    <w:tmpl w:val="79F63E2C"/>
    <w:lvl w:ilvl="0" w:tplc="E8BC22CE">
      <w:start w:val="2"/>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F03551"/>
    <w:multiLevelType w:val="hybridMultilevel"/>
    <w:tmpl w:val="14A8C8EC"/>
    <w:lvl w:ilvl="0" w:tplc="C8E6BED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1"/>
  </w:num>
  <w:num w:numId="3">
    <w:abstractNumId w:val="20"/>
  </w:num>
  <w:num w:numId="4">
    <w:abstractNumId w:val="18"/>
  </w:num>
  <w:num w:numId="5">
    <w:abstractNumId w:val="18"/>
  </w:num>
  <w:num w:numId="6">
    <w:abstractNumId w:val="2"/>
  </w:num>
  <w:num w:numId="7">
    <w:abstractNumId w:val="22"/>
  </w:num>
  <w:num w:numId="8">
    <w:abstractNumId w:val="19"/>
  </w:num>
  <w:num w:numId="9">
    <w:abstractNumId w:val="12"/>
  </w:num>
  <w:num w:numId="10">
    <w:abstractNumId w:val="6"/>
  </w:num>
  <w:num w:numId="11">
    <w:abstractNumId w:val="23"/>
  </w:num>
  <w:num w:numId="12">
    <w:abstractNumId w:val="17"/>
  </w:num>
  <w:num w:numId="13">
    <w:abstractNumId w:val="11"/>
  </w:num>
  <w:num w:numId="14">
    <w:abstractNumId w:val="40"/>
  </w:num>
  <w:num w:numId="15">
    <w:abstractNumId w:val="8"/>
  </w:num>
  <w:num w:numId="16">
    <w:abstractNumId w:val="13"/>
  </w:num>
  <w:num w:numId="17">
    <w:abstractNumId w:val="5"/>
  </w:num>
  <w:num w:numId="18">
    <w:abstractNumId w:val="0"/>
  </w:num>
  <w:num w:numId="19">
    <w:abstractNumId w:val="38"/>
  </w:num>
  <w:num w:numId="20">
    <w:abstractNumId w:val="4"/>
  </w:num>
  <w:num w:numId="21">
    <w:abstractNumId w:val="28"/>
  </w:num>
  <w:num w:numId="22">
    <w:abstractNumId w:val="29"/>
  </w:num>
  <w:num w:numId="23">
    <w:abstractNumId w:val="41"/>
  </w:num>
  <w:num w:numId="24">
    <w:abstractNumId w:val="37"/>
  </w:num>
  <w:num w:numId="25">
    <w:abstractNumId w:val="14"/>
  </w:num>
  <w:num w:numId="26">
    <w:abstractNumId w:val="16"/>
  </w:num>
  <w:num w:numId="27">
    <w:abstractNumId w:val="35"/>
  </w:num>
  <w:num w:numId="28">
    <w:abstractNumId w:val="15"/>
  </w:num>
  <w:num w:numId="29">
    <w:abstractNumId w:val="7"/>
  </w:num>
  <w:num w:numId="30">
    <w:abstractNumId w:val="1"/>
  </w:num>
  <w:num w:numId="31">
    <w:abstractNumId w:val="42"/>
  </w:num>
  <w:num w:numId="32">
    <w:abstractNumId w:val="27"/>
  </w:num>
  <w:num w:numId="33">
    <w:abstractNumId w:val="36"/>
  </w:num>
  <w:num w:numId="34">
    <w:abstractNumId w:val="9"/>
  </w:num>
  <w:num w:numId="35">
    <w:abstractNumId w:val="34"/>
  </w:num>
  <w:num w:numId="36">
    <w:abstractNumId w:val="10"/>
  </w:num>
  <w:num w:numId="37">
    <w:abstractNumId w:val="25"/>
  </w:num>
  <w:num w:numId="38">
    <w:abstractNumId w:val="24"/>
  </w:num>
  <w:num w:numId="39">
    <w:abstractNumId w:val="33"/>
  </w:num>
  <w:num w:numId="40">
    <w:abstractNumId w:val="31"/>
  </w:num>
  <w:num w:numId="41">
    <w:abstractNumId w:val="3"/>
  </w:num>
  <w:num w:numId="42">
    <w:abstractNumId w:val="39"/>
  </w:num>
  <w:num w:numId="43">
    <w:abstractNumId w:val="30"/>
  </w:num>
  <w:num w:numId="44">
    <w:abstractNumId w:val="32"/>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3BF"/>
    <w:rsid w:val="00024252"/>
    <w:rsid w:val="000245B5"/>
    <w:rsid w:val="00027183"/>
    <w:rsid w:val="00033EA1"/>
    <w:rsid w:val="0003746D"/>
    <w:rsid w:val="0004020F"/>
    <w:rsid w:val="000436CB"/>
    <w:rsid w:val="00052E17"/>
    <w:rsid w:val="00056947"/>
    <w:rsid w:val="00061A8E"/>
    <w:rsid w:val="00064CB3"/>
    <w:rsid w:val="00070BEE"/>
    <w:rsid w:val="00072040"/>
    <w:rsid w:val="00076DF4"/>
    <w:rsid w:val="00076F51"/>
    <w:rsid w:val="000827F7"/>
    <w:rsid w:val="0008524C"/>
    <w:rsid w:val="00086F7F"/>
    <w:rsid w:val="0009074D"/>
    <w:rsid w:val="0009490E"/>
    <w:rsid w:val="0009592B"/>
    <w:rsid w:val="000968C6"/>
    <w:rsid w:val="000A63C9"/>
    <w:rsid w:val="000B3765"/>
    <w:rsid w:val="000B655B"/>
    <w:rsid w:val="000C0000"/>
    <w:rsid w:val="000C12FD"/>
    <w:rsid w:val="000C18CC"/>
    <w:rsid w:val="000C687D"/>
    <w:rsid w:val="000C7ED1"/>
    <w:rsid w:val="000D0319"/>
    <w:rsid w:val="000D6733"/>
    <w:rsid w:val="000D789A"/>
    <w:rsid w:val="000E4B5F"/>
    <w:rsid w:val="000E706D"/>
    <w:rsid w:val="000F1211"/>
    <w:rsid w:val="000F130A"/>
    <w:rsid w:val="000F4FD8"/>
    <w:rsid w:val="000F7846"/>
    <w:rsid w:val="00101076"/>
    <w:rsid w:val="00107242"/>
    <w:rsid w:val="00111CC5"/>
    <w:rsid w:val="001206F7"/>
    <w:rsid w:val="001236C1"/>
    <w:rsid w:val="00133EE8"/>
    <w:rsid w:val="00140B30"/>
    <w:rsid w:val="00141BDD"/>
    <w:rsid w:val="00147155"/>
    <w:rsid w:val="00153CB3"/>
    <w:rsid w:val="00154C3B"/>
    <w:rsid w:val="00160158"/>
    <w:rsid w:val="001651EF"/>
    <w:rsid w:val="00165357"/>
    <w:rsid w:val="001722B7"/>
    <w:rsid w:val="001727D9"/>
    <w:rsid w:val="00174BB4"/>
    <w:rsid w:val="00175D14"/>
    <w:rsid w:val="001811EE"/>
    <w:rsid w:val="00185AD4"/>
    <w:rsid w:val="001979AF"/>
    <w:rsid w:val="001A0EB4"/>
    <w:rsid w:val="001A1A86"/>
    <w:rsid w:val="001A5F62"/>
    <w:rsid w:val="001B015E"/>
    <w:rsid w:val="001B2301"/>
    <w:rsid w:val="001B618B"/>
    <w:rsid w:val="001C1338"/>
    <w:rsid w:val="001C3DA9"/>
    <w:rsid w:val="001C4140"/>
    <w:rsid w:val="001C47CA"/>
    <w:rsid w:val="001C5A94"/>
    <w:rsid w:val="001D2317"/>
    <w:rsid w:val="001D28FD"/>
    <w:rsid w:val="001D3223"/>
    <w:rsid w:val="001D33EF"/>
    <w:rsid w:val="001D4CBC"/>
    <w:rsid w:val="001D5AB3"/>
    <w:rsid w:val="001E0519"/>
    <w:rsid w:val="001E0829"/>
    <w:rsid w:val="001E1320"/>
    <w:rsid w:val="001E1BBE"/>
    <w:rsid w:val="001E556A"/>
    <w:rsid w:val="001E6899"/>
    <w:rsid w:val="001F05CE"/>
    <w:rsid w:val="001F1905"/>
    <w:rsid w:val="001F4A65"/>
    <w:rsid w:val="00205C45"/>
    <w:rsid w:val="00207BE0"/>
    <w:rsid w:val="0021035B"/>
    <w:rsid w:val="00211153"/>
    <w:rsid w:val="00220452"/>
    <w:rsid w:val="00222ABE"/>
    <w:rsid w:val="00226C91"/>
    <w:rsid w:val="0023254A"/>
    <w:rsid w:val="002344FB"/>
    <w:rsid w:val="00236216"/>
    <w:rsid w:val="002405CD"/>
    <w:rsid w:val="00240B74"/>
    <w:rsid w:val="00243B62"/>
    <w:rsid w:val="0024675B"/>
    <w:rsid w:val="002469DD"/>
    <w:rsid w:val="00246BD6"/>
    <w:rsid w:val="00247180"/>
    <w:rsid w:val="00252457"/>
    <w:rsid w:val="00254671"/>
    <w:rsid w:val="00257D36"/>
    <w:rsid w:val="00263C1C"/>
    <w:rsid w:val="00271415"/>
    <w:rsid w:val="00274FBE"/>
    <w:rsid w:val="00275EF0"/>
    <w:rsid w:val="002762E1"/>
    <w:rsid w:val="0027727B"/>
    <w:rsid w:val="002811BC"/>
    <w:rsid w:val="00283DE8"/>
    <w:rsid w:val="00285552"/>
    <w:rsid w:val="00285966"/>
    <w:rsid w:val="00285A0D"/>
    <w:rsid w:val="00290ED8"/>
    <w:rsid w:val="00291197"/>
    <w:rsid w:val="00296B49"/>
    <w:rsid w:val="002A03FC"/>
    <w:rsid w:val="002A1843"/>
    <w:rsid w:val="002A3D26"/>
    <w:rsid w:val="002A523E"/>
    <w:rsid w:val="002B1ADF"/>
    <w:rsid w:val="002B502E"/>
    <w:rsid w:val="002B613A"/>
    <w:rsid w:val="002B657B"/>
    <w:rsid w:val="002C2853"/>
    <w:rsid w:val="002C444C"/>
    <w:rsid w:val="002C458F"/>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12FE1"/>
    <w:rsid w:val="00317970"/>
    <w:rsid w:val="00317EB0"/>
    <w:rsid w:val="00332700"/>
    <w:rsid w:val="003358BD"/>
    <w:rsid w:val="00344E88"/>
    <w:rsid w:val="00345D80"/>
    <w:rsid w:val="003471D4"/>
    <w:rsid w:val="00350BF1"/>
    <w:rsid w:val="00353C49"/>
    <w:rsid w:val="003540B1"/>
    <w:rsid w:val="003557E9"/>
    <w:rsid w:val="003560BA"/>
    <w:rsid w:val="00364CC6"/>
    <w:rsid w:val="003650F6"/>
    <w:rsid w:val="0036726C"/>
    <w:rsid w:val="003740D7"/>
    <w:rsid w:val="00382774"/>
    <w:rsid w:val="003832D2"/>
    <w:rsid w:val="003845E5"/>
    <w:rsid w:val="00385476"/>
    <w:rsid w:val="00393137"/>
    <w:rsid w:val="0039615F"/>
    <w:rsid w:val="00397406"/>
    <w:rsid w:val="003A3170"/>
    <w:rsid w:val="003A360E"/>
    <w:rsid w:val="003B3C01"/>
    <w:rsid w:val="003B75F6"/>
    <w:rsid w:val="003D17FF"/>
    <w:rsid w:val="003D2871"/>
    <w:rsid w:val="003D2981"/>
    <w:rsid w:val="003D5B83"/>
    <w:rsid w:val="003E6E47"/>
    <w:rsid w:val="003F0623"/>
    <w:rsid w:val="003F33DE"/>
    <w:rsid w:val="003F3A41"/>
    <w:rsid w:val="003F45B2"/>
    <w:rsid w:val="003F67E9"/>
    <w:rsid w:val="00401031"/>
    <w:rsid w:val="004023B7"/>
    <w:rsid w:val="004045A0"/>
    <w:rsid w:val="00413CDB"/>
    <w:rsid w:val="004200FE"/>
    <w:rsid w:val="00421183"/>
    <w:rsid w:val="00421BA6"/>
    <w:rsid w:val="00421C17"/>
    <w:rsid w:val="00426CDE"/>
    <w:rsid w:val="00433EA1"/>
    <w:rsid w:val="00441957"/>
    <w:rsid w:val="00443D32"/>
    <w:rsid w:val="004469A8"/>
    <w:rsid w:val="004469DD"/>
    <w:rsid w:val="004476B2"/>
    <w:rsid w:val="00447CE5"/>
    <w:rsid w:val="00447D6E"/>
    <w:rsid w:val="0045048F"/>
    <w:rsid w:val="0045181B"/>
    <w:rsid w:val="00452133"/>
    <w:rsid w:val="00452C7A"/>
    <w:rsid w:val="00456B53"/>
    <w:rsid w:val="0046286E"/>
    <w:rsid w:val="004658DF"/>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B1184"/>
    <w:rsid w:val="004B4A3A"/>
    <w:rsid w:val="004B5CE5"/>
    <w:rsid w:val="004B750E"/>
    <w:rsid w:val="004C2244"/>
    <w:rsid w:val="004C23F1"/>
    <w:rsid w:val="004D069A"/>
    <w:rsid w:val="004E01F5"/>
    <w:rsid w:val="004E297E"/>
    <w:rsid w:val="004E76CA"/>
    <w:rsid w:val="004F1698"/>
    <w:rsid w:val="00500C4E"/>
    <w:rsid w:val="00505CEC"/>
    <w:rsid w:val="0051020F"/>
    <w:rsid w:val="00513CAB"/>
    <w:rsid w:val="00516CF5"/>
    <w:rsid w:val="00523597"/>
    <w:rsid w:val="00523736"/>
    <w:rsid w:val="00524B62"/>
    <w:rsid w:val="00524CE6"/>
    <w:rsid w:val="0052704A"/>
    <w:rsid w:val="00532530"/>
    <w:rsid w:val="00535CA4"/>
    <w:rsid w:val="0053762C"/>
    <w:rsid w:val="00542F68"/>
    <w:rsid w:val="005476F6"/>
    <w:rsid w:val="00551D72"/>
    <w:rsid w:val="005540B6"/>
    <w:rsid w:val="00554E79"/>
    <w:rsid w:val="005552C3"/>
    <w:rsid w:val="00560934"/>
    <w:rsid w:val="00563E58"/>
    <w:rsid w:val="00564960"/>
    <w:rsid w:val="00570654"/>
    <w:rsid w:val="00570F38"/>
    <w:rsid w:val="005720F2"/>
    <w:rsid w:val="005729C8"/>
    <w:rsid w:val="00572D2F"/>
    <w:rsid w:val="005734A4"/>
    <w:rsid w:val="00583F00"/>
    <w:rsid w:val="00592469"/>
    <w:rsid w:val="00594EF5"/>
    <w:rsid w:val="0059545B"/>
    <w:rsid w:val="005A0E53"/>
    <w:rsid w:val="005A1078"/>
    <w:rsid w:val="005A126D"/>
    <w:rsid w:val="005A4658"/>
    <w:rsid w:val="005A496B"/>
    <w:rsid w:val="005A740D"/>
    <w:rsid w:val="005B28C1"/>
    <w:rsid w:val="005B6344"/>
    <w:rsid w:val="005C1C74"/>
    <w:rsid w:val="005C2E48"/>
    <w:rsid w:val="005C3F23"/>
    <w:rsid w:val="005D016F"/>
    <w:rsid w:val="005D4DD7"/>
    <w:rsid w:val="005D5F4D"/>
    <w:rsid w:val="005E12A9"/>
    <w:rsid w:val="005F139E"/>
    <w:rsid w:val="005F69D5"/>
    <w:rsid w:val="00602799"/>
    <w:rsid w:val="00602F18"/>
    <w:rsid w:val="00607C30"/>
    <w:rsid w:val="006110E5"/>
    <w:rsid w:val="006110F3"/>
    <w:rsid w:val="00612041"/>
    <w:rsid w:val="00614AFF"/>
    <w:rsid w:val="00621ABA"/>
    <w:rsid w:val="0062322A"/>
    <w:rsid w:val="00631157"/>
    <w:rsid w:val="006404E6"/>
    <w:rsid w:val="0064680F"/>
    <w:rsid w:val="0064729D"/>
    <w:rsid w:val="00647ABE"/>
    <w:rsid w:val="006516BA"/>
    <w:rsid w:val="00655873"/>
    <w:rsid w:val="00664B05"/>
    <w:rsid w:val="00665C04"/>
    <w:rsid w:val="0066682D"/>
    <w:rsid w:val="006746FE"/>
    <w:rsid w:val="006758C2"/>
    <w:rsid w:val="00676E9F"/>
    <w:rsid w:val="00680934"/>
    <w:rsid w:val="00681367"/>
    <w:rsid w:val="00685D5C"/>
    <w:rsid w:val="0069264D"/>
    <w:rsid w:val="0069578B"/>
    <w:rsid w:val="00697868"/>
    <w:rsid w:val="006A055F"/>
    <w:rsid w:val="006A0D7B"/>
    <w:rsid w:val="006A126F"/>
    <w:rsid w:val="006A14E9"/>
    <w:rsid w:val="006A2A65"/>
    <w:rsid w:val="006A5293"/>
    <w:rsid w:val="006A67E4"/>
    <w:rsid w:val="006A6D15"/>
    <w:rsid w:val="006B0DF3"/>
    <w:rsid w:val="006B0F11"/>
    <w:rsid w:val="006B27FA"/>
    <w:rsid w:val="006B2F20"/>
    <w:rsid w:val="006B3254"/>
    <w:rsid w:val="006B4A48"/>
    <w:rsid w:val="006C2C55"/>
    <w:rsid w:val="006C430A"/>
    <w:rsid w:val="006D2809"/>
    <w:rsid w:val="006D513F"/>
    <w:rsid w:val="006E27A3"/>
    <w:rsid w:val="006E3342"/>
    <w:rsid w:val="006E4B12"/>
    <w:rsid w:val="006E65D0"/>
    <w:rsid w:val="006F142C"/>
    <w:rsid w:val="006F1B21"/>
    <w:rsid w:val="006F21E8"/>
    <w:rsid w:val="006F78D5"/>
    <w:rsid w:val="0070091B"/>
    <w:rsid w:val="007048AC"/>
    <w:rsid w:val="00726338"/>
    <w:rsid w:val="00726AD5"/>
    <w:rsid w:val="00733C7D"/>
    <w:rsid w:val="00737150"/>
    <w:rsid w:val="00740761"/>
    <w:rsid w:val="00745F77"/>
    <w:rsid w:val="007464DE"/>
    <w:rsid w:val="007529EA"/>
    <w:rsid w:val="00755A45"/>
    <w:rsid w:val="00760CDC"/>
    <w:rsid w:val="00764D0D"/>
    <w:rsid w:val="00777C53"/>
    <w:rsid w:val="00781942"/>
    <w:rsid w:val="00785130"/>
    <w:rsid w:val="00786E92"/>
    <w:rsid w:val="007933F1"/>
    <w:rsid w:val="0079441B"/>
    <w:rsid w:val="007A3EE1"/>
    <w:rsid w:val="007A5F52"/>
    <w:rsid w:val="007B090A"/>
    <w:rsid w:val="007E43F8"/>
    <w:rsid w:val="007E5076"/>
    <w:rsid w:val="007E656B"/>
    <w:rsid w:val="007F2997"/>
    <w:rsid w:val="007F4AD2"/>
    <w:rsid w:val="007F4D04"/>
    <w:rsid w:val="007F50E8"/>
    <w:rsid w:val="007F54E2"/>
    <w:rsid w:val="007F7FBA"/>
    <w:rsid w:val="00800319"/>
    <w:rsid w:val="0080044E"/>
    <w:rsid w:val="00800706"/>
    <w:rsid w:val="0080189A"/>
    <w:rsid w:val="00801F7F"/>
    <w:rsid w:val="00803C2B"/>
    <w:rsid w:val="00807D3C"/>
    <w:rsid w:val="00811945"/>
    <w:rsid w:val="00824F1C"/>
    <w:rsid w:val="00826688"/>
    <w:rsid w:val="00827519"/>
    <w:rsid w:val="008276D3"/>
    <w:rsid w:val="0083369B"/>
    <w:rsid w:val="00835D38"/>
    <w:rsid w:val="008377F0"/>
    <w:rsid w:val="00843763"/>
    <w:rsid w:val="00847A4E"/>
    <w:rsid w:val="008538AA"/>
    <w:rsid w:val="00870B29"/>
    <w:rsid w:val="00871D79"/>
    <w:rsid w:val="0087393E"/>
    <w:rsid w:val="00881A42"/>
    <w:rsid w:val="00882386"/>
    <w:rsid w:val="0088361D"/>
    <w:rsid w:val="00885E0A"/>
    <w:rsid w:val="0088603B"/>
    <w:rsid w:val="008877AF"/>
    <w:rsid w:val="00891823"/>
    <w:rsid w:val="00893FC3"/>
    <w:rsid w:val="0089415B"/>
    <w:rsid w:val="0089577B"/>
    <w:rsid w:val="00895C25"/>
    <w:rsid w:val="008B1024"/>
    <w:rsid w:val="008B1357"/>
    <w:rsid w:val="008B2DF3"/>
    <w:rsid w:val="008C2E0E"/>
    <w:rsid w:val="008C4DE0"/>
    <w:rsid w:val="008D3930"/>
    <w:rsid w:val="008D67F9"/>
    <w:rsid w:val="008E17CC"/>
    <w:rsid w:val="008E25B1"/>
    <w:rsid w:val="008E56FB"/>
    <w:rsid w:val="008F2167"/>
    <w:rsid w:val="008F33B4"/>
    <w:rsid w:val="008F3CC2"/>
    <w:rsid w:val="008F6298"/>
    <w:rsid w:val="0090077A"/>
    <w:rsid w:val="00900F47"/>
    <w:rsid w:val="00904ADA"/>
    <w:rsid w:val="00904F13"/>
    <w:rsid w:val="00907697"/>
    <w:rsid w:val="00910A69"/>
    <w:rsid w:val="009138A0"/>
    <w:rsid w:val="0091424C"/>
    <w:rsid w:val="00917DE4"/>
    <w:rsid w:val="00920905"/>
    <w:rsid w:val="009226F8"/>
    <w:rsid w:val="00922B85"/>
    <w:rsid w:val="00930CDC"/>
    <w:rsid w:val="00931E45"/>
    <w:rsid w:val="00933188"/>
    <w:rsid w:val="00935AF9"/>
    <w:rsid w:val="009403A5"/>
    <w:rsid w:val="009500DC"/>
    <w:rsid w:val="00951923"/>
    <w:rsid w:val="00953236"/>
    <w:rsid w:val="00972C81"/>
    <w:rsid w:val="009824E9"/>
    <w:rsid w:val="009826E5"/>
    <w:rsid w:val="009844A1"/>
    <w:rsid w:val="00986E20"/>
    <w:rsid w:val="00990B30"/>
    <w:rsid w:val="00995479"/>
    <w:rsid w:val="00995CB0"/>
    <w:rsid w:val="00997E77"/>
    <w:rsid w:val="009A1154"/>
    <w:rsid w:val="009A2734"/>
    <w:rsid w:val="009A55FE"/>
    <w:rsid w:val="009B2A02"/>
    <w:rsid w:val="009B2B61"/>
    <w:rsid w:val="009B5B7B"/>
    <w:rsid w:val="009C1777"/>
    <w:rsid w:val="009C2C86"/>
    <w:rsid w:val="009C6FE0"/>
    <w:rsid w:val="009D0753"/>
    <w:rsid w:val="009D10A4"/>
    <w:rsid w:val="009D5131"/>
    <w:rsid w:val="009D6F71"/>
    <w:rsid w:val="009E1802"/>
    <w:rsid w:val="009E1CDE"/>
    <w:rsid w:val="009E27B6"/>
    <w:rsid w:val="009E2B06"/>
    <w:rsid w:val="009E3829"/>
    <w:rsid w:val="009E51E2"/>
    <w:rsid w:val="009F7A61"/>
    <w:rsid w:val="00A06D5F"/>
    <w:rsid w:val="00A11800"/>
    <w:rsid w:val="00A11C16"/>
    <w:rsid w:val="00A124BF"/>
    <w:rsid w:val="00A1423E"/>
    <w:rsid w:val="00A17664"/>
    <w:rsid w:val="00A20FAF"/>
    <w:rsid w:val="00A24520"/>
    <w:rsid w:val="00A26FE0"/>
    <w:rsid w:val="00A3101F"/>
    <w:rsid w:val="00A3164A"/>
    <w:rsid w:val="00A37F42"/>
    <w:rsid w:val="00A419CD"/>
    <w:rsid w:val="00A4411F"/>
    <w:rsid w:val="00A500D6"/>
    <w:rsid w:val="00A523FF"/>
    <w:rsid w:val="00A54756"/>
    <w:rsid w:val="00A54C66"/>
    <w:rsid w:val="00A57D36"/>
    <w:rsid w:val="00A61BB6"/>
    <w:rsid w:val="00A65734"/>
    <w:rsid w:val="00A6687F"/>
    <w:rsid w:val="00A67907"/>
    <w:rsid w:val="00A73CC1"/>
    <w:rsid w:val="00A753CE"/>
    <w:rsid w:val="00A80270"/>
    <w:rsid w:val="00A8028B"/>
    <w:rsid w:val="00A82DB1"/>
    <w:rsid w:val="00A84127"/>
    <w:rsid w:val="00A84BF9"/>
    <w:rsid w:val="00A86DA2"/>
    <w:rsid w:val="00A90DFC"/>
    <w:rsid w:val="00A90F1A"/>
    <w:rsid w:val="00A91BF3"/>
    <w:rsid w:val="00AA0A9C"/>
    <w:rsid w:val="00AA16C0"/>
    <w:rsid w:val="00AA4CDC"/>
    <w:rsid w:val="00AA58F3"/>
    <w:rsid w:val="00AB21D4"/>
    <w:rsid w:val="00AB21F5"/>
    <w:rsid w:val="00AB3386"/>
    <w:rsid w:val="00AB36DB"/>
    <w:rsid w:val="00AC0B1D"/>
    <w:rsid w:val="00AC2F5B"/>
    <w:rsid w:val="00AC3DAD"/>
    <w:rsid w:val="00AC5309"/>
    <w:rsid w:val="00AC5B97"/>
    <w:rsid w:val="00AC7122"/>
    <w:rsid w:val="00AD4197"/>
    <w:rsid w:val="00AD4DD0"/>
    <w:rsid w:val="00AD7DA7"/>
    <w:rsid w:val="00AE0A8D"/>
    <w:rsid w:val="00AF6342"/>
    <w:rsid w:val="00B053FB"/>
    <w:rsid w:val="00B05647"/>
    <w:rsid w:val="00B07EE5"/>
    <w:rsid w:val="00B2110F"/>
    <w:rsid w:val="00B21CC5"/>
    <w:rsid w:val="00B26778"/>
    <w:rsid w:val="00B26B83"/>
    <w:rsid w:val="00B32479"/>
    <w:rsid w:val="00B33FE2"/>
    <w:rsid w:val="00B403ED"/>
    <w:rsid w:val="00B4065F"/>
    <w:rsid w:val="00B4452A"/>
    <w:rsid w:val="00B45091"/>
    <w:rsid w:val="00B45447"/>
    <w:rsid w:val="00B4757C"/>
    <w:rsid w:val="00B50E65"/>
    <w:rsid w:val="00B614F1"/>
    <w:rsid w:val="00B80979"/>
    <w:rsid w:val="00B866B4"/>
    <w:rsid w:val="00B94226"/>
    <w:rsid w:val="00BA0A8C"/>
    <w:rsid w:val="00BA0CEB"/>
    <w:rsid w:val="00BA2383"/>
    <w:rsid w:val="00BA2E7E"/>
    <w:rsid w:val="00BA590A"/>
    <w:rsid w:val="00BA5FE4"/>
    <w:rsid w:val="00BB0B39"/>
    <w:rsid w:val="00BB30D1"/>
    <w:rsid w:val="00BB39D8"/>
    <w:rsid w:val="00BB5F75"/>
    <w:rsid w:val="00BC2B13"/>
    <w:rsid w:val="00BC602C"/>
    <w:rsid w:val="00BC6524"/>
    <w:rsid w:val="00BD3931"/>
    <w:rsid w:val="00BD5B88"/>
    <w:rsid w:val="00BD5F58"/>
    <w:rsid w:val="00BE0AEB"/>
    <w:rsid w:val="00C018E0"/>
    <w:rsid w:val="00C05AAF"/>
    <w:rsid w:val="00C10C97"/>
    <w:rsid w:val="00C118C7"/>
    <w:rsid w:val="00C20877"/>
    <w:rsid w:val="00C20E7B"/>
    <w:rsid w:val="00C21456"/>
    <w:rsid w:val="00C22BB7"/>
    <w:rsid w:val="00C24280"/>
    <w:rsid w:val="00C244A8"/>
    <w:rsid w:val="00C24D03"/>
    <w:rsid w:val="00C25E61"/>
    <w:rsid w:val="00C35A1B"/>
    <w:rsid w:val="00C413F3"/>
    <w:rsid w:val="00C54EFF"/>
    <w:rsid w:val="00C55D03"/>
    <w:rsid w:val="00C63548"/>
    <w:rsid w:val="00C63F96"/>
    <w:rsid w:val="00C65450"/>
    <w:rsid w:val="00C6677C"/>
    <w:rsid w:val="00C677AF"/>
    <w:rsid w:val="00C67E59"/>
    <w:rsid w:val="00C72B8B"/>
    <w:rsid w:val="00C72CB5"/>
    <w:rsid w:val="00C76D4F"/>
    <w:rsid w:val="00C77C62"/>
    <w:rsid w:val="00C805BC"/>
    <w:rsid w:val="00C85EDC"/>
    <w:rsid w:val="00C91A18"/>
    <w:rsid w:val="00C959CA"/>
    <w:rsid w:val="00C95D16"/>
    <w:rsid w:val="00CA2AB4"/>
    <w:rsid w:val="00CB0100"/>
    <w:rsid w:val="00CB04D2"/>
    <w:rsid w:val="00CC5F83"/>
    <w:rsid w:val="00CD7EFE"/>
    <w:rsid w:val="00CE0C66"/>
    <w:rsid w:val="00CE1C46"/>
    <w:rsid w:val="00CE28CF"/>
    <w:rsid w:val="00CE4386"/>
    <w:rsid w:val="00CE4CDC"/>
    <w:rsid w:val="00CE5BEB"/>
    <w:rsid w:val="00CE69E9"/>
    <w:rsid w:val="00CE71F2"/>
    <w:rsid w:val="00CF3F65"/>
    <w:rsid w:val="00CF464D"/>
    <w:rsid w:val="00D06B9B"/>
    <w:rsid w:val="00D10A14"/>
    <w:rsid w:val="00D17EF4"/>
    <w:rsid w:val="00D23770"/>
    <w:rsid w:val="00D25074"/>
    <w:rsid w:val="00D31630"/>
    <w:rsid w:val="00D34517"/>
    <w:rsid w:val="00D36798"/>
    <w:rsid w:val="00D40706"/>
    <w:rsid w:val="00D4323C"/>
    <w:rsid w:val="00D473F0"/>
    <w:rsid w:val="00D47E80"/>
    <w:rsid w:val="00D70563"/>
    <w:rsid w:val="00D70D89"/>
    <w:rsid w:val="00D72051"/>
    <w:rsid w:val="00D72D0B"/>
    <w:rsid w:val="00D7380B"/>
    <w:rsid w:val="00D75D77"/>
    <w:rsid w:val="00D7639E"/>
    <w:rsid w:val="00D835EF"/>
    <w:rsid w:val="00D85F09"/>
    <w:rsid w:val="00D86A9D"/>
    <w:rsid w:val="00DA089A"/>
    <w:rsid w:val="00DA11A0"/>
    <w:rsid w:val="00DA2822"/>
    <w:rsid w:val="00DA690B"/>
    <w:rsid w:val="00DA7225"/>
    <w:rsid w:val="00DB29E1"/>
    <w:rsid w:val="00DB44E9"/>
    <w:rsid w:val="00DC0A96"/>
    <w:rsid w:val="00DC1966"/>
    <w:rsid w:val="00DC3259"/>
    <w:rsid w:val="00DD0523"/>
    <w:rsid w:val="00DE5758"/>
    <w:rsid w:val="00DE5FCF"/>
    <w:rsid w:val="00DF076B"/>
    <w:rsid w:val="00DF0D19"/>
    <w:rsid w:val="00DF2EE9"/>
    <w:rsid w:val="00DF6FD8"/>
    <w:rsid w:val="00E01465"/>
    <w:rsid w:val="00E05A80"/>
    <w:rsid w:val="00E06A37"/>
    <w:rsid w:val="00E071A5"/>
    <w:rsid w:val="00E07752"/>
    <w:rsid w:val="00E143E3"/>
    <w:rsid w:val="00E16609"/>
    <w:rsid w:val="00E16F08"/>
    <w:rsid w:val="00E233F3"/>
    <w:rsid w:val="00E26B34"/>
    <w:rsid w:val="00E314BA"/>
    <w:rsid w:val="00E325BE"/>
    <w:rsid w:val="00E326BA"/>
    <w:rsid w:val="00E34202"/>
    <w:rsid w:val="00E37F72"/>
    <w:rsid w:val="00E40BE5"/>
    <w:rsid w:val="00E40CF9"/>
    <w:rsid w:val="00E42A30"/>
    <w:rsid w:val="00E5005D"/>
    <w:rsid w:val="00E5625D"/>
    <w:rsid w:val="00E62371"/>
    <w:rsid w:val="00E648BB"/>
    <w:rsid w:val="00E67ACA"/>
    <w:rsid w:val="00E76B31"/>
    <w:rsid w:val="00E81F3E"/>
    <w:rsid w:val="00E844BB"/>
    <w:rsid w:val="00E84C48"/>
    <w:rsid w:val="00E859BD"/>
    <w:rsid w:val="00E86008"/>
    <w:rsid w:val="00E86B70"/>
    <w:rsid w:val="00E87C8F"/>
    <w:rsid w:val="00E924C3"/>
    <w:rsid w:val="00E954EE"/>
    <w:rsid w:val="00E96759"/>
    <w:rsid w:val="00EA3A62"/>
    <w:rsid w:val="00EA4437"/>
    <w:rsid w:val="00EA4D87"/>
    <w:rsid w:val="00EB33EA"/>
    <w:rsid w:val="00EB34FC"/>
    <w:rsid w:val="00EB76E1"/>
    <w:rsid w:val="00EC2499"/>
    <w:rsid w:val="00EE29DF"/>
    <w:rsid w:val="00EE4120"/>
    <w:rsid w:val="00EF2E8A"/>
    <w:rsid w:val="00EF4E6B"/>
    <w:rsid w:val="00EF5416"/>
    <w:rsid w:val="00F06CCF"/>
    <w:rsid w:val="00F1053D"/>
    <w:rsid w:val="00F110D5"/>
    <w:rsid w:val="00F11E63"/>
    <w:rsid w:val="00F12733"/>
    <w:rsid w:val="00F171E1"/>
    <w:rsid w:val="00F20DCF"/>
    <w:rsid w:val="00F25B36"/>
    <w:rsid w:val="00F3052A"/>
    <w:rsid w:val="00F33C0B"/>
    <w:rsid w:val="00F341E3"/>
    <w:rsid w:val="00F35D09"/>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83DDC"/>
    <w:rsid w:val="00F8633C"/>
    <w:rsid w:val="00F92ED0"/>
    <w:rsid w:val="00F95E2F"/>
    <w:rsid w:val="00F96DEB"/>
    <w:rsid w:val="00FA1872"/>
    <w:rsid w:val="00FA4F34"/>
    <w:rsid w:val="00FB2590"/>
    <w:rsid w:val="00FD3B4A"/>
    <w:rsid w:val="00FD5A8C"/>
    <w:rsid w:val="00FE286E"/>
    <w:rsid w:val="00FE3233"/>
    <w:rsid w:val="00FE4C68"/>
    <w:rsid w:val="00FE5FAF"/>
    <w:rsid w:val="00FE6D74"/>
    <w:rsid w:val="00FF2F5D"/>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F77E0EA"/>
  <w15:docId w15:val="{ADBF4232-B60B-4A20-B5A6-33FC82BF8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201272">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54809849">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yperlink" Target="http://www.caltf.or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62C99"/>
    <w:rsid w:val="002B514B"/>
    <w:rsid w:val="002C0C03"/>
    <w:rsid w:val="00311B0D"/>
    <w:rsid w:val="00340A7A"/>
    <w:rsid w:val="0036119E"/>
    <w:rsid w:val="003A131F"/>
    <w:rsid w:val="003C265E"/>
    <w:rsid w:val="003F3BD2"/>
    <w:rsid w:val="004F379F"/>
    <w:rsid w:val="00560392"/>
    <w:rsid w:val="005E599B"/>
    <w:rsid w:val="00645C32"/>
    <w:rsid w:val="006B7FA8"/>
    <w:rsid w:val="00803893"/>
    <w:rsid w:val="008125E4"/>
    <w:rsid w:val="008211B5"/>
    <w:rsid w:val="00855A04"/>
    <w:rsid w:val="00874653"/>
    <w:rsid w:val="008E71D5"/>
    <w:rsid w:val="009C2095"/>
    <w:rsid w:val="00A5022A"/>
    <w:rsid w:val="00AE4C28"/>
    <w:rsid w:val="00AF2C4B"/>
    <w:rsid w:val="00B018EA"/>
    <w:rsid w:val="00B73964"/>
    <w:rsid w:val="00B74704"/>
    <w:rsid w:val="00C947B8"/>
    <w:rsid w:val="00D0496D"/>
    <w:rsid w:val="00D051F5"/>
    <w:rsid w:val="00E076E5"/>
    <w:rsid w:val="00E1565C"/>
    <w:rsid w:val="00E71B53"/>
    <w:rsid w:val="00EC59D9"/>
    <w:rsid w:val="00EE7E4C"/>
    <w:rsid w:val="00F04A2C"/>
    <w:rsid w:val="00F37811"/>
    <w:rsid w:val="00F7350A"/>
    <w:rsid w:val="00FB4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2016-11-18T00:00:00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217AE46-1595-430D-BF6E-716CF531F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3569</Words>
  <Characters>20349</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SCE17LG086</vt:lpstr>
    </vt:vector>
  </TitlesOfParts>
  <Company>Southern California Edison</Company>
  <LinksUpToDate>false</LinksUpToDate>
  <CharactersWithSpaces>23871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SCE17LG086</dc:title>
  <dc:creator>Jim Wyatt (PG&amp;E);Jason Wang (SCE)</dc:creator>
  <cp:lastModifiedBy>Scott Mitchell</cp:lastModifiedBy>
  <cp:revision>4</cp:revision>
  <dcterms:created xsi:type="dcterms:W3CDTF">2017-01-03T21:45:00Z</dcterms:created>
  <dcterms:modified xsi:type="dcterms:W3CDTF">2017-01-05T17:13:00Z</dcterms:modified>
  <cp:contentStatus>Revision 0</cp:contentStatus>
</cp:coreProperties>
</file>